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6CE6" w14:textId="3F57C36D" w:rsidR="00955B5F" w:rsidRPr="00955B5F" w:rsidRDefault="00955B5F" w:rsidP="00434A09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87465F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CTF Checklist for Community </w:t>
      </w:r>
      <w:r w:rsidR="00A83D55">
        <w:rPr>
          <w:rFonts w:ascii="Calibri" w:eastAsia="Calibri" w:hAnsi="Calibri" w:cs="Times New Roman"/>
          <w:b/>
          <w:sz w:val="40"/>
          <w:szCs w:val="40"/>
          <w:lang w:val="en-US"/>
        </w:rPr>
        <w:t>Engagement</w:t>
      </w:r>
    </w:p>
    <w:p w14:paraId="7637A4B1" w14:textId="77777777" w:rsidR="00955B5F" w:rsidRDefault="00955B5F" w:rsidP="00814F5D">
      <w:pPr>
        <w:spacing w:after="0" w:line="240" w:lineRule="auto"/>
        <w:ind w:left="-142"/>
        <w:rPr>
          <w:rFonts w:ascii="Arial" w:hAnsi="Arial" w:cs="Arial"/>
          <w:lang w:val="en-US"/>
        </w:rPr>
      </w:pPr>
    </w:p>
    <w:p w14:paraId="30863092" w14:textId="57DA8BF2" w:rsidR="008B6D92" w:rsidRDefault="002C7C59" w:rsidP="00814F5D">
      <w:pPr>
        <w:spacing w:after="0" w:line="240" w:lineRule="auto"/>
        <w:ind w:left="-142"/>
        <w:rPr>
          <w:rFonts w:ascii="Arial" w:hAnsi="Arial" w:cs="Arial"/>
          <w:lang w:val="en-US"/>
        </w:rPr>
      </w:pPr>
      <w:r w:rsidRPr="0087465F">
        <w:rPr>
          <w:rFonts w:ascii="Arial" w:hAnsi="Arial" w:cs="Arial"/>
          <w:lang w:val="en-US"/>
        </w:rPr>
        <w:t>T</w:t>
      </w:r>
      <w:r w:rsidR="00EC6FF7" w:rsidRPr="0087465F">
        <w:rPr>
          <w:rFonts w:ascii="Arial" w:hAnsi="Arial" w:cs="Arial"/>
          <w:lang w:val="en-US"/>
        </w:rPr>
        <w:t xml:space="preserve">he community </w:t>
      </w:r>
      <w:r w:rsidR="00EB7056" w:rsidRPr="0087465F">
        <w:rPr>
          <w:rFonts w:ascii="Arial" w:hAnsi="Arial" w:cs="Arial"/>
          <w:lang w:val="en-US"/>
        </w:rPr>
        <w:t>is</w:t>
      </w:r>
      <w:r w:rsidRPr="0087465F">
        <w:rPr>
          <w:rFonts w:ascii="Arial" w:hAnsi="Arial" w:cs="Arial"/>
          <w:lang w:val="en-US"/>
        </w:rPr>
        <w:t xml:space="preserve"> a valuable resource when creating learning experiences for students</w:t>
      </w:r>
      <w:r w:rsidR="00EC6FF7" w:rsidRPr="0087465F">
        <w:rPr>
          <w:rFonts w:ascii="Arial" w:hAnsi="Arial" w:cs="Arial"/>
          <w:lang w:val="en-US"/>
        </w:rPr>
        <w:t xml:space="preserve">. </w:t>
      </w:r>
      <w:r w:rsidRPr="0087465F">
        <w:rPr>
          <w:rFonts w:ascii="Arial" w:hAnsi="Arial" w:cs="Arial"/>
          <w:lang w:val="en-US"/>
        </w:rPr>
        <w:t>An engaged community support</w:t>
      </w:r>
      <w:r w:rsidR="00EB7056" w:rsidRPr="0087465F">
        <w:rPr>
          <w:rFonts w:ascii="Arial" w:hAnsi="Arial" w:cs="Arial"/>
          <w:lang w:val="en-US"/>
        </w:rPr>
        <w:t>s</w:t>
      </w:r>
      <w:r w:rsidRPr="0087465F">
        <w:rPr>
          <w:rFonts w:ascii="Arial" w:hAnsi="Arial" w:cs="Arial"/>
          <w:lang w:val="en-US"/>
        </w:rPr>
        <w:t xml:space="preserve"> meaningful, authentic and relevant learning experiences. </w:t>
      </w:r>
      <w:r w:rsidR="0070602F" w:rsidRPr="0087465F">
        <w:rPr>
          <w:rFonts w:ascii="Arial" w:hAnsi="Arial" w:cs="Arial"/>
          <w:lang w:val="en-US"/>
        </w:rPr>
        <w:t>The</w:t>
      </w:r>
      <w:r w:rsidR="00EB7056" w:rsidRPr="0087465F">
        <w:rPr>
          <w:rFonts w:ascii="Arial" w:hAnsi="Arial" w:cs="Arial"/>
          <w:lang w:val="en-US"/>
        </w:rPr>
        <w:t xml:space="preserve"> community</w:t>
      </w:r>
      <w:r w:rsidR="00EC6FF7" w:rsidRPr="0087465F">
        <w:rPr>
          <w:rFonts w:ascii="Arial" w:hAnsi="Arial" w:cs="Arial"/>
          <w:lang w:val="en-US"/>
        </w:rPr>
        <w:t xml:space="preserve"> contains divers</w:t>
      </w:r>
      <w:r w:rsidRPr="0087465F">
        <w:rPr>
          <w:rFonts w:ascii="Arial" w:hAnsi="Arial" w:cs="Arial"/>
          <w:lang w:val="en-US"/>
        </w:rPr>
        <w:t xml:space="preserve">e members who are willing to </w:t>
      </w:r>
      <w:r w:rsidR="00EC6FF7" w:rsidRPr="0087465F">
        <w:rPr>
          <w:rFonts w:ascii="Arial" w:hAnsi="Arial" w:cs="Arial"/>
          <w:lang w:val="en-US"/>
        </w:rPr>
        <w:t xml:space="preserve">support student learning both directly and indirectly. </w:t>
      </w:r>
      <w:r w:rsidR="004773F5" w:rsidRPr="0087465F">
        <w:rPr>
          <w:rFonts w:ascii="Arial" w:hAnsi="Arial" w:cs="Arial"/>
          <w:lang w:val="en-US"/>
        </w:rPr>
        <w:t>Examples of</w:t>
      </w:r>
      <w:r w:rsidR="00EB7056" w:rsidRPr="0087465F">
        <w:rPr>
          <w:rFonts w:ascii="Arial" w:hAnsi="Arial" w:cs="Arial"/>
          <w:lang w:val="en-US"/>
        </w:rPr>
        <w:t xml:space="preserve"> community are</w:t>
      </w:r>
      <w:r w:rsidR="00562A65" w:rsidRPr="0087465F">
        <w:rPr>
          <w:rFonts w:ascii="Arial" w:hAnsi="Arial" w:cs="Arial"/>
          <w:lang w:val="en-US"/>
        </w:rPr>
        <w:t xml:space="preserve"> </w:t>
      </w:r>
      <w:r w:rsidR="0087465F">
        <w:rPr>
          <w:rFonts w:ascii="Arial" w:hAnsi="Arial" w:cs="Arial"/>
          <w:lang w:val="en-US"/>
        </w:rPr>
        <w:t xml:space="preserve">students, </w:t>
      </w:r>
      <w:r w:rsidR="00562A65" w:rsidRPr="0087465F">
        <w:rPr>
          <w:rFonts w:ascii="Arial" w:hAnsi="Arial" w:cs="Arial"/>
          <w:lang w:val="en-US"/>
        </w:rPr>
        <w:t xml:space="preserve">parents, grandparents, </w:t>
      </w:r>
      <w:r w:rsidR="00801909" w:rsidRPr="0087465F">
        <w:rPr>
          <w:rFonts w:ascii="Arial" w:hAnsi="Arial" w:cs="Arial"/>
          <w:lang w:val="en-US"/>
        </w:rPr>
        <w:t xml:space="preserve">school council, </w:t>
      </w:r>
      <w:r w:rsidR="001F6FE3" w:rsidRPr="0087465F">
        <w:rPr>
          <w:rFonts w:ascii="Arial" w:hAnsi="Arial" w:cs="Arial"/>
          <w:lang w:val="en-US"/>
        </w:rPr>
        <w:t>Elders</w:t>
      </w:r>
      <w:r w:rsidR="004773F5" w:rsidRPr="0087465F">
        <w:rPr>
          <w:rFonts w:ascii="Arial" w:hAnsi="Arial" w:cs="Arial"/>
          <w:lang w:val="en-US"/>
        </w:rPr>
        <w:t>, leaders, businesses,</w:t>
      </w:r>
      <w:r w:rsidR="00562A65" w:rsidRPr="0087465F">
        <w:rPr>
          <w:rFonts w:ascii="Arial" w:hAnsi="Arial" w:cs="Arial"/>
          <w:lang w:val="en-US"/>
        </w:rPr>
        <w:t xml:space="preserve"> experts</w:t>
      </w:r>
      <w:r w:rsidR="004773F5" w:rsidRPr="0087465F">
        <w:rPr>
          <w:rFonts w:ascii="Arial" w:hAnsi="Arial" w:cs="Arial"/>
          <w:lang w:val="en-US"/>
        </w:rPr>
        <w:t>, industry</w:t>
      </w:r>
      <w:r w:rsidR="00CE04E4" w:rsidRPr="0087465F">
        <w:rPr>
          <w:rFonts w:ascii="Arial" w:hAnsi="Arial" w:cs="Arial"/>
          <w:lang w:val="en-US"/>
        </w:rPr>
        <w:t>, other schools</w:t>
      </w:r>
      <w:r w:rsidR="004773F5" w:rsidRPr="0087465F">
        <w:rPr>
          <w:rFonts w:ascii="Arial" w:hAnsi="Arial" w:cs="Arial"/>
          <w:lang w:val="en-US"/>
        </w:rPr>
        <w:t xml:space="preserve"> and post-secondary institutions</w:t>
      </w:r>
      <w:r w:rsidR="00562A65" w:rsidRPr="0087465F">
        <w:rPr>
          <w:rFonts w:ascii="Arial" w:hAnsi="Arial" w:cs="Arial"/>
          <w:lang w:val="en-US"/>
        </w:rPr>
        <w:t xml:space="preserve">. </w:t>
      </w:r>
    </w:p>
    <w:p w14:paraId="1696098C" w14:textId="0CF0C368" w:rsidR="008B6D92" w:rsidRDefault="004773F5" w:rsidP="00814F5D">
      <w:pPr>
        <w:spacing w:after="0" w:line="240" w:lineRule="auto"/>
        <w:ind w:left="-142"/>
        <w:rPr>
          <w:rFonts w:ascii="Arial" w:hAnsi="Arial" w:cs="Arial"/>
          <w:lang w:val="en-US"/>
        </w:rPr>
      </w:pPr>
      <w:r w:rsidRPr="0087465F">
        <w:rPr>
          <w:rFonts w:ascii="Arial" w:hAnsi="Arial" w:cs="Arial"/>
          <w:lang w:val="en-US"/>
        </w:rPr>
        <w:t>C</w:t>
      </w:r>
      <w:r w:rsidR="00562A65" w:rsidRPr="0087465F">
        <w:rPr>
          <w:rFonts w:ascii="Arial" w:hAnsi="Arial" w:cs="Arial"/>
          <w:lang w:val="en-US"/>
        </w:rPr>
        <w:t xml:space="preserve">ommunity </w:t>
      </w:r>
      <w:r w:rsidR="002C7C59" w:rsidRPr="0087465F">
        <w:rPr>
          <w:rFonts w:ascii="Arial" w:hAnsi="Arial" w:cs="Arial"/>
          <w:lang w:val="en-US"/>
        </w:rPr>
        <w:t xml:space="preserve">involvement </w:t>
      </w:r>
      <w:r w:rsidR="00CB328D">
        <w:rPr>
          <w:rFonts w:ascii="Arial" w:hAnsi="Arial" w:cs="Arial"/>
          <w:lang w:val="en-US"/>
        </w:rPr>
        <w:t xml:space="preserve">can </w:t>
      </w:r>
      <w:r w:rsidR="00694C7E">
        <w:rPr>
          <w:rFonts w:ascii="Arial" w:hAnsi="Arial" w:cs="Arial"/>
          <w:lang w:val="en-US"/>
        </w:rPr>
        <w:t>occur</w:t>
      </w:r>
      <w:r w:rsidR="002C7C59" w:rsidRPr="0087465F">
        <w:rPr>
          <w:rFonts w:ascii="Arial" w:hAnsi="Arial" w:cs="Arial"/>
          <w:lang w:val="en-US"/>
        </w:rPr>
        <w:t xml:space="preserve"> at the school or</w:t>
      </w:r>
      <w:r w:rsidRPr="0087465F">
        <w:rPr>
          <w:rFonts w:ascii="Arial" w:hAnsi="Arial" w:cs="Arial"/>
          <w:lang w:val="en-US"/>
        </w:rPr>
        <w:t xml:space="preserve"> </w:t>
      </w:r>
      <w:r w:rsidR="001F6FE3" w:rsidRPr="0087465F">
        <w:rPr>
          <w:rFonts w:ascii="Arial" w:hAnsi="Arial" w:cs="Arial"/>
          <w:lang w:val="en-US"/>
        </w:rPr>
        <w:t xml:space="preserve">take place at the </w:t>
      </w:r>
      <w:r w:rsidRPr="0087465F">
        <w:rPr>
          <w:rFonts w:ascii="Arial" w:hAnsi="Arial" w:cs="Arial"/>
          <w:lang w:val="en-US"/>
        </w:rPr>
        <w:t>local</w:t>
      </w:r>
      <w:r w:rsidR="002C7C59" w:rsidRPr="0087465F">
        <w:rPr>
          <w:rFonts w:ascii="Arial" w:hAnsi="Arial" w:cs="Arial"/>
          <w:lang w:val="en-US"/>
        </w:rPr>
        <w:t xml:space="preserve"> level. At times,</w:t>
      </w:r>
      <w:r w:rsidRPr="0087465F">
        <w:rPr>
          <w:rFonts w:ascii="Arial" w:hAnsi="Arial" w:cs="Arial"/>
          <w:lang w:val="en-US"/>
        </w:rPr>
        <w:t xml:space="preserve"> a global perspective</w:t>
      </w:r>
      <w:r w:rsidR="002C7C59" w:rsidRPr="0087465F">
        <w:rPr>
          <w:rFonts w:ascii="Arial" w:hAnsi="Arial" w:cs="Arial"/>
          <w:lang w:val="en-US"/>
        </w:rPr>
        <w:t xml:space="preserve"> is involved</w:t>
      </w:r>
      <w:r w:rsidRPr="0087465F">
        <w:rPr>
          <w:rFonts w:ascii="Arial" w:hAnsi="Arial" w:cs="Arial"/>
          <w:lang w:val="en-US"/>
        </w:rPr>
        <w:t xml:space="preserve">. </w:t>
      </w:r>
    </w:p>
    <w:p w14:paraId="14F8F403" w14:textId="77777777" w:rsidR="008B6D92" w:rsidRDefault="008B6D92" w:rsidP="00814F5D">
      <w:pPr>
        <w:spacing w:after="0" w:line="240" w:lineRule="auto"/>
        <w:ind w:left="-142"/>
        <w:rPr>
          <w:rFonts w:ascii="Arial" w:hAnsi="Arial" w:cs="Arial"/>
          <w:lang w:val="en-US"/>
        </w:rPr>
      </w:pPr>
    </w:p>
    <w:p w14:paraId="7F21F4F6" w14:textId="4966DAD1" w:rsidR="00CB328D" w:rsidRDefault="002C7C59" w:rsidP="00814F5D">
      <w:pPr>
        <w:spacing w:after="0" w:line="240" w:lineRule="auto"/>
        <w:ind w:left="-142"/>
        <w:rPr>
          <w:rFonts w:ascii="Arial" w:hAnsi="Arial" w:cs="Arial"/>
          <w:lang w:val="en-US"/>
        </w:rPr>
      </w:pPr>
      <w:r w:rsidRPr="0087465F">
        <w:rPr>
          <w:rFonts w:ascii="Arial" w:hAnsi="Arial" w:cs="Arial"/>
          <w:lang w:val="en-US"/>
        </w:rPr>
        <w:t xml:space="preserve">This community </w:t>
      </w:r>
      <w:r w:rsidR="008B1FBE">
        <w:rPr>
          <w:rFonts w:ascii="Arial" w:hAnsi="Arial" w:cs="Arial"/>
          <w:lang w:val="en-US"/>
        </w:rPr>
        <w:t>engagement</w:t>
      </w:r>
      <w:r w:rsidR="008B1FBE" w:rsidRPr="0087465F">
        <w:rPr>
          <w:rFonts w:ascii="Arial" w:hAnsi="Arial" w:cs="Arial"/>
          <w:lang w:val="en-US"/>
        </w:rPr>
        <w:t xml:space="preserve"> </w:t>
      </w:r>
      <w:r w:rsidRPr="0087465F">
        <w:rPr>
          <w:rFonts w:ascii="Arial" w:hAnsi="Arial" w:cs="Arial"/>
          <w:lang w:val="en-US"/>
        </w:rPr>
        <w:t xml:space="preserve">checklist can be used to determine a school’s readiness for involving the community in student learning experiences. </w:t>
      </w:r>
      <w:r w:rsidR="00CB328D">
        <w:rPr>
          <w:rFonts w:ascii="Arial" w:hAnsi="Arial" w:cs="Arial"/>
          <w:lang w:val="en-US"/>
        </w:rPr>
        <w:t>Use the YES or NO areas to organize information pertaining to the community engagement questions.</w:t>
      </w:r>
    </w:p>
    <w:p w14:paraId="3F380FFE" w14:textId="77777777" w:rsidR="00015799" w:rsidRDefault="00015799" w:rsidP="00F3114B">
      <w:pPr>
        <w:spacing w:after="0" w:line="240" w:lineRule="auto"/>
        <w:rPr>
          <w:lang w:val="en-US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90"/>
        <w:gridCol w:w="3118"/>
        <w:gridCol w:w="3402"/>
      </w:tblGrid>
      <w:tr w:rsidR="001A7826" w14:paraId="0A1671B2" w14:textId="77777777" w:rsidTr="003F482B">
        <w:tc>
          <w:tcPr>
            <w:tcW w:w="3290" w:type="dxa"/>
            <w:shd w:val="clear" w:color="auto" w:fill="DBE5F1" w:themeFill="accent1" w:themeFillTint="33"/>
          </w:tcPr>
          <w:p w14:paraId="72B5FE1A" w14:textId="77777777" w:rsidR="001A7826" w:rsidRPr="00F47308" w:rsidRDefault="001A7826" w:rsidP="00F3114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Community Engagement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8FA53B3" w14:textId="10E7A77C" w:rsidR="001A7826" w:rsidRDefault="00AD493C" w:rsidP="00AD493C">
            <w:pPr>
              <w:tabs>
                <w:tab w:val="center" w:pos="1451"/>
                <w:tab w:val="right" w:pos="290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ab/>
            </w:r>
            <w:r w:rsidR="001A7826">
              <w:rPr>
                <w:rFonts w:ascii="Arial" w:hAnsi="Arial" w:cs="Arial"/>
                <w:b/>
                <w:lang w:val="en-US"/>
              </w:rPr>
              <w:t>YES</w:t>
            </w:r>
            <w:r>
              <w:rPr>
                <w:rFonts w:ascii="Arial" w:hAnsi="Arial" w:cs="Arial"/>
                <w:b/>
                <w:lang w:val="en-US"/>
              </w:rPr>
              <w:tab/>
            </w:r>
          </w:p>
          <w:p w14:paraId="6094BDC7" w14:textId="6959E6DB" w:rsidR="001A7826" w:rsidRPr="00F47308" w:rsidRDefault="001A7826" w:rsidP="0001579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47308">
              <w:rPr>
                <w:rFonts w:ascii="Arial" w:hAnsi="Arial" w:cs="Arial"/>
                <w:b/>
                <w:lang w:val="en-US"/>
              </w:rPr>
              <w:t>Evidence</w:t>
            </w:r>
            <w:r>
              <w:rPr>
                <w:rFonts w:ascii="Arial" w:hAnsi="Arial" w:cs="Arial"/>
                <w:b/>
                <w:lang w:val="en-US"/>
              </w:rPr>
              <w:t xml:space="preserve"> or Successes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B517968" w14:textId="5D31D39D" w:rsidR="001A7826" w:rsidRDefault="001A7826" w:rsidP="0001579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  <w:p w14:paraId="7A00C1C4" w14:textId="531F1ABC" w:rsidR="001A7826" w:rsidRDefault="001A7826" w:rsidP="0001579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Work Required or Challenges</w:t>
            </w:r>
          </w:p>
        </w:tc>
      </w:tr>
      <w:tr w:rsidR="001A7826" w14:paraId="473AD931" w14:textId="77777777" w:rsidTr="00141798">
        <w:tc>
          <w:tcPr>
            <w:tcW w:w="3290" w:type="dxa"/>
          </w:tcPr>
          <w:p w14:paraId="2BE61CA3" w14:textId="2A23EDF8" w:rsidR="001A7826" w:rsidRPr="001A7826" w:rsidRDefault="001A7826" w:rsidP="00F25BE0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1. </w:t>
            </w:r>
            <w:r w:rsidRPr="004E7860">
              <w:rPr>
                <w:rFonts w:cs="Arial"/>
                <w:lang w:val="en-US"/>
              </w:rPr>
              <w:t xml:space="preserve">Has </w:t>
            </w:r>
            <w:r w:rsidRPr="004E7860">
              <w:rPr>
                <w:rFonts w:cs="Arial"/>
              </w:rPr>
              <w:t xml:space="preserve">an understanding of CTF been communicated to members of the </w:t>
            </w:r>
            <w:r w:rsidR="00CB328D">
              <w:rPr>
                <w:rFonts w:cs="Arial"/>
              </w:rPr>
              <w:t xml:space="preserve">school </w:t>
            </w:r>
            <w:r w:rsidR="00F25BE0">
              <w:rPr>
                <w:rFonts w:cs="Arial"/>
              </w:rPr>
              <w:t>community?</w:t>
            </w:r>
          </w:p>
        </w:tc>
        <w:tc>
          <w:tcPr>
            <w:tcW w:w="3118" w:type="dxa"/>
          </w:tcPr>
          <w:p w14:paraId="7B6A64BD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14:paraId="5E42E43D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</w:tr>
      <w:tr w:rsidR="001A7826" w14:paraId="4C58D863" w14:textId="77777777" w:rsidTr="00141798">
        <w:tc>
          <w:tcPr>
            <w:tcW w:w="3290" w:type="dxa"/>
          </w:tcPr>
          <w:p w14:paraId="38752461" w14:textId="02BF1C79" w:rsidR="001A7826" w:rsidRPr="00141798" w:rsidRDefault="001A7826" w:rsidP="00F25BE0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2. </w:t>
            </w:r>
            <w:r w:rsidRPr="004E7860">
              <w:rPr>
                <w:rFonts w:cs="Arial"/>
                <w:lang w:val="en-US"/>
              </w:rPr>
              <w:t xml:space="preserve">Has </w:t>
            </w:r>
            <w:r w:rsidRPr="004E7860">
              <w:rPr>
                <w:rFonts w:cs="Arial"/>
              </w:rPr>
              <w:t>an understanding of CTF been communi</w:t>
            </w:r>
            <w:r w:rsidR="00F25BE0">
              <w:rPr>
                <w:rFonts w:cs="Arial"/>
              </w:rPr>
              <w:t>cated to the greater community?</w:t>
            </w:r>
          </w:p>
        </w:tc>
        <w:tc>
          <w:tcPr>
            <w:tcW w:w="3118" w:type="dxa"/>
          </w:tcPr>
          <w:p w14:paraId="63617606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14:paraId="1F48F12C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</w:tr>
      <w:tr w:rsidR="004E2865" w14:paraId="090A47F2" w14:textId="77777777" w:rsidTr="00141798">
        <w:tc>
          <w:tcPr>
            <w:tcW w:w="3290" w:type="dxa"/>
          </w:tcPr>
          <w:p w14:paraId="1DBA66BF" w14:textId="52D8BBAB" w:rsidR="004E2865" w:rsidRDefault="004E2865" w:rsidP="004E286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3. Does CTF planning consider possibilities for engaging the community?</w:t>
            </w:r>
          </w:p>
        </w:tc>
        <w:tc>
          <w:tcPr>
            <w:tcW w:w="3118" w:type="dxa"/>
          </w:tcPr>
          <w:p w14:paraId="13048162" w14:textId="77777777" w:rsidR="004E2865" w:rsidRPr="00F47308" w:rsidRDefault="004E2865" w:rsidP="00F311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14:paraId="2EE457D5" w14:textId="77777777" w:rsidR="004E2865" w:rsidRPr="00F47308" w:rsidRDefault="004E2865" w:rsidP="00F3114B">
            <w:pPr>
              <w:rPr>
                <w:rFonts w:ascii="Arial" w:hAnsi="Arial" w:cs="Arial"/>
                <w:lang w:val="en-US"/>
              </w:rPr>
            </w:pPr>
          </w:p>
        </w:tc>
      </w:tr>
      <w:tr w:rsidR="001A7826" w14:paraId="54322793" w14:textId="77777777" w:rsidTr="00141798">
        <w:tc>
          <w:tcPr>
            <w:tcW w:w="3290" w:type="dxa"/>
          </w:tcPr>
          <w:p w14:paraId="5FCAC0B5" w14:textId="661FF4E9" w:rsidR="006065C0" w:rsidRPr="006065C0" w:rsidRDefault="004E2865" w:rsidP="004D07D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065C0" w:rsidRPr="006065C0">
              <w:rPr>
                <w:rFonts w:cs="Arial"/>
              </w:rPr>
              <w:t xml:space="preserve">. </w:t>
            </w:r>
            <w:r w:rsidR="002E736A">
              <w:rPr>
                <w:rFonts w:cs="Arial"/>
              </w:rPr>
              <w:t xml:space="preserve">Have </w:t>
            </w:r>
            <w:r w:rsidR="00F25BE0">
              <w:rPr>
                <w:rFonts w:cs="Arial"/>
              </w:rPr>
              <w:t xml:space="preserve">possibilities for </w:t>
            </w:r>
            <w:r w:rsidR="00F32B91">
              <w:rPr>
                <w:rFonts w:cs="Arial"/>
              </w:rPr>
              <w:t xml:space="preserve">authentic, meaningful off-site learning experiences through the use of resources, </w:t>
            </w:r>
            <w:r w:rsidR="007368AC">
              <w:rPr>
                <w:rFonts w:cs="Arial"/>
              </w:rPr>
              <w:t xml:space="preserve">people and/or groups </w:t>
            </w:r>
            <w:r w:rsidR="00F32B91">
              <w:rPr>
                <w:rFonts w:cs="Arial"/>
              </w:rPr>
              <w:t>from the community</w:t>
            </w:r>
            <w:r w:rsidR="002E736A">
              <w:rPr>
                <w:rFonts w:cs="Arial"/>
              </w:rPr>
              <w:t xml:space="preserve"> been considered</w:t>
            </w:r>
            <w:r w:rsidR="00F32B91">
              <w:rPr>
                <w:rFonts w:cs="Arial"/>
              </w:rPr>
              <w:t>?</w:t>
            </w:r>
          </w:p>
        </w:tc>
        <w:tc>
          <w:tcPr>
            <w:tcW w:w="3118" w:type="dxa"/>
          </w:tcPr>
          <w:p w14:paraId="5CA72B80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14:paraId="7F1B44FA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</w:tr>
      <w:tr w:rsidR="001A7826" w14:paraId="37EE03E1" w14:textId="77777777" w:rsidTr="00141798">
        <w:tc>
          <w:tcPr>
            <w:tcW w:w="3290" w:type="dxa"/>
          </w:tcPr>
          <w:p w14:paraId="4B37B382" w14:textId="374D69D5" w:rsidR="005A3088" w:rsidRPr="00141798" w:rsidRDefault="002E736A" w:rsidP="00D0434A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pacing w:val="1"/>
                <w:position w:val="-1"/>
              </w:rPr>
            </w:pPr>
            <w:r>
              <w:rPr>
                <w:rFonts w:eastAsia="PMingLiU" w:cs="Arial"/>
                <w:color w:val="000000"/>
                <w:spacing w:val="1"/>
                <w:position w:val="-1"/>
              </w:rPr>
              <w:t xml:space="preserve">5. Has the </w:t>
            </w:r>
            <w:r w:rsidR="00D0434A">
              <w:rPr>
                <w:rFonts w:eastAsia="PMingLiU" w:cs="Arial"/>
                <w:color w:val="000000"/>
                <w:spacing w:val="1"/>
                <w:position w:val="-1"/>
              </w:rPr>
              <w:t xml:space="preserve">possibility of </w:t>
            </w:r>
            <w:r>
              <w:rPr>
                <w:rFonts w:eastAsia="PMingLiU" w:cs="Arial"/>
                <w:color w:val="000000"/>
                <w:spacing w:val="1"/>
                <w:position w:val="-1"/>
              </w:rPr>
              <w:t>develop</w:t>
            </w:r>
            <w:r w:rsidR="00D0434A">
              <w:rPr>
                <w:rFonts w:eastAsia="PMingLiU" w:cs="Arial"/>
                <w:color w:val="000000"/>
                <w:spacing w:val="1"/>
                <w:position w:val="-1"/>
              </w:rPr>
              <w:t xml:space="preserve">ing </w:t>
            </w:r>
            <w:r>
              <w:rPr>
                <w:rFonts w:eastAsia="PMingLiU" w:cs="Arial"/>
                <w:color w:val="000000"/>
                <w:spacing w:val="1"/>
                <w:position w:val="-1"/>
              </w:rPr>
              <w:t>partnerships that support</w:t>
            </w:r>
            <w:r w:rsidR="005A3088">
              <w:rPr>
                <w:rFonts w:eastAsia="PMingLiU" w:cs="Arial"/>
                <w:color w:val="000000"/>
                <w:spacing w:val="1"/>
                <w:position w:val="-1"/>
              </w:rPr>
              <w:t xml:space="preserve"> CTF be</w:t>
            </w:r>
            <w:r>
              <w:rPr>
                <w:rFonts w:eastAsia="PMingLiU" w:cs="Arial"/>
                <w:color w:val="000000"/>
                <w:spacing w:val="1"/>
                <w:position w:val="-1"/>
              </w:rPr>
              <w:t>en considered?</w:t>
            </w:r>
            <w:r w:rsidR="005A3088">
              <w:rPr>
                <w:rFonts w:eastAsia="PMingLiU" w:cs="Arial"/>
                <w:color w:val="000000"/>
                <w:spacing w:val="1"/>
                <w:position w:val="-1"/>
              </w:rPr>
              <w:t xml:space="preserve"> </w:t>
            </w:r>
          </w:p>
        </w:tc>
        <w:tc>
          <w:tcPr>
            <w:tcW w:w="3118" w:type="dxa"/>
          </w:tcPr>
          <w:p w14:paraId="7A2191C7" w14:textId="77777777" w:rsidR="001A7826" w:rsidRPr="00141798" w:rsidRDefault="001A7826" w:rsidP="00F3114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75669A" w14:textId="77777777" w:rsidR="001A7826" w:rsidRPr="00F47308" w:rsidRDefault="001A7826" w:rsidP="00F3114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822EEF5" w14:textId="77777777" w:rsidR="002E736A" w:rsidRDefault="002E736A" w:rsidP="00F3114B">
      <w:pPr>
        <w:spacing w:after="0" w:line="240" w:lineRule="auto"/>
        <w:rPr>
          <w:lang w:val="en-US"/>
        </w:rPr>
      </w:pPr>
    </w:p>
    <w:p w14:paraId="1D0C224E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758CC7D9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34DBD4E8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70839288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02996BD6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52CAB11B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44F933C6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2744110B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794E8BDD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5868C0C4" w14:textId="77777777" w:rsidR="00D0434A" w:rsidRDefault="00D0434A" w:rsidP="00F3114B">
      <w:pPr>
        <w:spacing w:after="0" w:line="240" w:lineRule="auto"/>
        <w:rPr>
          <w:lang w:val="en-US"/>
        </w:rPr>
      </w:pPr>
    </w:p>
    <w:p w14:paraId="74769358" w14:textId="77777777" w:rsidR="00434A09" w:rsidRDefault="00434A09" w:rsidP="00F3114B">
      <w:pPr>
        <w:spacing w:after="0" w:line="240" w:lineRule="auto"/>
        <w:rPr>
          <w:lang w:val="en-US"/>
        </w:rPr>
      </w:pPr>
    </w:p>
    <w:p w14:paraId="7F1247D5" w14:textId="77777777" w:rsidR="00434A09" w:rsidRDefault="00434A09" w:rsidP="00F3114B">
      <w:pPr>
        <w:spacing w:after="0" w:line="240" w:lineRule="auto"/>
        <w:rPr>
          <w:lang w:val="en-US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90"/>
        <w:gridCol w:w="6520"/>
      </w:tblGrid>
      <w:tr w:rsidR="004B4B04" w14:paraId="10D8EACE" w14:textId="77777777" w:rsidTr="003F482B">
        <w:tc>
          <w:tcPr>
            <w:tcW w:w="9810" w:type="dxa"/>
            <w:gridSpan w:val="2"/>
            <w:shd w:val="clear" w:color="auto" w:fill="DBE5F1" w:themeFill="accent1" w:themeFillTint="33"/>
          </w:tcPr>
          <w:p w14:paraId="0CB82E67" w14:textId="27DCAAD5" w:rsidR="004B4B04" w:rsidRDefault="003F482B" w:rsidP="003F482B">
            <w:pPr>
              <w:tabs>
                <w:tab w:val="left" w:pos="1410"/>
                <w:tab w:val="center" w:pos="479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ab/>
            </w:r>
            <w:r>
              <w:rPr>
                <w:rFonts w:ascii="Arial" w:hAnsi="Arial" w:cs="Arial"/>
                <w:b/>
                <w:lang w:val="en-US"/>
              </w:rPr>
              <w:tab/>
            </w:r>
            <w:r w:rsidR="004B4B04">
              <w:rPr>
                <w:rFonts w:ascii="Arial" w:hAnsi="Arial" w:cs="Arial"/>
                <w:b/>
                <w:lang w:val="en-US"/>
              </w:rPr>
              <w:t>Community Engagement</w:t>
            </w:r>
          </w:p>
        </w:tc>
      </w:tr>
      <w:tr w:rsidR="004B4B04" w14:paraId="57EA95D8" w14:textId="77777777" w:rsidTr="00831AB0">
        <w:tc>
          <w:tcPr>
            <w:tcW w:w="3290" w:type="dxa"/>
          </w:tcPr>
          <w:p w14:paraId="6CB49BF4" w14:textId="77777777" w:rsidR="004B4B04" w:rsidRPr="001A7826" w:rsidRDefault="004B4B04" w:rsidP="00E12663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1. </w:t>
            </w:r>
            <w:r w:rsidRPr="004E7860">
              <w:rPr>
                <w:rFonts w:cs="Arial"/>
                <w:lang w:val="en-US"/>
              </w:rPr>
              <w:t xml:space="preserve">Has </w:t>
            </w:r>
            <w:r w:rsidRPr="004E7860">
              <w:rPr>
                <w:rFonts w:cs="Arial"/>
              </w:rPr>
              <w:t xml:space="preserve">an understanding of CTF been communicated to members of the </w:t>
            </w:r>
            <w:r>
              <w:rPr>
                <w:rFonts w:cs="Arial"/>
              </w:rPr>
              <w:t>school community?</w:t>
            </w:r>
          </w:p>
        </w:tc>
        <w:tc>
          <w:tcPr>
            <w:tcW w:w="6520" w:type="dxa"/>
          </w:tcPr>
          <w:p w14:paraId="28DA4089" w14:textId="23967FA4" w:rsidR="004B4B04" w:rsidRPr="003635F9" w:rsidRDefault="004B4B04" w:rsidP="00972682">
            <w:pPr>
              <w:rPr>
                <w:rFonts w:cs="Arial"/>
              </w:rPr>
            </w:pPr>
            <w:r w:rsidRPr="003635F9">
              <w:rPr>
                <w:rFonts w:cs="Arial"/>
              </w:rPr>
              <w:t xml:space="preserve">Members of the school community </w:t>
            </w:r>
            <w:r w:rsidR="00163497">
              <w:rPr>
                <w:rFonts w:cs="Arial"/>
              </w:rPr>
              <w:t>c</w:t>
            </w:r>
            <w:r w:rsidRPr="003635F9">
              <w:rPr>
                <w:rFonts w:cs="Arial"/>
              </w:rPr>
              <w:t xml:space="preserve">ould include </w:t>
            </w:r>
            <w:r w:rsidR="003635F9">
              <w:rPr>
                <w:rFonts w:cs="Arial"/>
              </w:rPr>
              <w:t xml:space="preserve">students, teachers, educational assistants, administration, </w:t>
            </w:r>
            <w:r w:rsidR="00163497">
              <w:rPr>
                <w:rFonts w:cs="Arial"/>
              </w:rPr>
              <w:t>office, maintenance</w:t>
            </w:r>
            <w:r w:rsidR="003635F9">
              <w:rPr>
                <w:rFonts w:cs="Arial"/>
              </w:rPr>
              <w:t xml:space="preserve"> and custodial staff, </w:t>
            </w:r>
            <w:r w:rsidR="00163497">
              <w:rPr>
                <w:rFonts w:cs="Arial"/>
              </w:rPr>
              <w:t xml:space="preserve">lunch supervisors, </w:t>
            </w:r>
            <w:r w:rsidR="003635F9">
              <w:rPr>
                <w:rFonts w:cs="Arial"/>
              </w:rPr>
              <w:t xml:space="preserve">parents, </w:t>
            </w:r>
            <w:r w:rsidR="00033E6A">
              <w:rPr>
                <w:rFonts w:cs="Arial"/>
              </w:rPr>
              <w:t>E</w:t>
            </w:r>
            <w:r w:rsidR="000D2168">
              <w:rPr>
                <w:rFonts w:cs="Arial"/>
              </w:rPr>
              <w:t>lders,</w:t>
            </w:r>
            <w:r w:rsidR="00D90CA5">
              <w:rPr>
                <w:rFonts w:cs="Arial"/>
              </w:rPr>
              <w:t xml:space="preserve"> </w:t>
            </w:r>
            <w:r w:rsidR="00972682">
              <w:rPr>
                <w:rFonts w:cs="Arial"/>
              </w:rPr>
              <w:t>Knowledge K</w:t>
            </w:r>
            <w:r w:rsidR="00D90CA5">
              <w:rPr>
                <w:rFonts w:cs="Arial"/>
              </w:rPr>
              <w:t>eepers,</w:t>
            </w:r>
            <w:r w:rsidR="000D2168">
              <w:rPr>
                <w:rFonts w:cs="Arial"/>
              </w:rPr>
              <w:t xml:space="preserve"> school councils, </w:t>
            </w:r>
            <w:r w:rsidR="003635F9">
              <w:rPr>
                <w:rFonts w:cs="Arial"/>
              </w:rPr>
              <w:t>board members, central office, bus drivers, etc.</w:t>
            </w:r>
          </w:p>
        </w:tc>
      </w:tr>
      <w:tr w:rsidR="004B4B04" w14:paraId="5EC3EE20" w14:textId="77777777" w:rsidTr="003055C8">
        <w:tc>
          <w:tcPr>
            <w:tcW w:w="3290" w:type="dxa"/>
          </w:tcPr>
          <w:p w14:paraId="5D8363A5" w14:textId="77777777" w:rsidR="004B4B04" w:rsidRPr="00141798" w:rsidRDefault="004B4B04" w:rsidP="00E12663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2. </w:t>
            </w:r>
            <w:r w:rsidRPr="004E7860">
              <w:rPr>
                <w:rFonts w:cs="Arial"/>
                <w:lang w:val="en-US"/>
              </w:rPr>
              <w:t xml:space="preserve">Has </w:t>
            </w:r>
            <w:r w:rsidRPr="004E7860">
              <w:rPr>
                <w:rFonts w:cs="Arial"/>
              </w:rPr>
              <w:t>an understanding of CTF been communi</w:t>
            </w:r>
            <w:r>
              <w:rPr>
                <w:rFonts w:cs="Arial"/>
              </w:rPr>
              <w:t>cated to the greater community?</w:t>
            </w:r>
          </w:p>
        </w:tc>
        <w:tc>
          <w:tcPr>
            <w:tcW w:w="6520" w:type="dxa"/>
          </w:tcPr>
          <w:p w14:paraId="59CB13D0" w14:textId="50B3D196" w:rsidR="00D2562A" w:rsidRPr="003635F9" w:rsidRDefault="009C5DDD" w:rsidP="00562499">
            <w:pPr>
              <w:rPr>
                <w:rFonts w:cs="Arial"/>
              </w:rPr>
            </w:pPr>
            <w:r>
              <w:rPr>
                <w:rFonts w:cs="Arial"/>
              </w:rPr>
              <w:t xml:space="preserve">The greater community can be local or all the way to global. Members of the greater community </w:t>
            </w:r>
            <w:r w:rsidRPr="00B67985">
              <w:rPr>
                <w:rFonts w:cs="Arial"/>
              </w:rPr>
              <w:t>could include community groups</w:t>
            </w:r>
            <w:r w:rsidR="00562499" w:rsidRPr="00B67985">
              <w:rPr>
                <w:rFonts w:cs="Arial"/>
              </w:rPr>
              <w:t xml:space="preserve">; </w:t>
            </w:r>
            <w:r w:rsidRPr="00B67985">
              <w:rPr>
                <w:rFonts w:cs="Arial"/>
              </w:rPr>
              <w:t xml:space="preserve">First Nations, </w:t>
            </w:r>
            <w:r w:rsidR="00562499" w:rsidRPr="00B67985">
              <w:rPr>
                <w:rFonts w:cs="Arial"/>
              </w:rPr>
              <w:t>M</w:t>
            </w:r>
            <w:r w:rsidR="00562499" w:rsidRPr="00B67985">
              <w:rPr>
                <w:rFonts w:cstheme="minorHAnsi"/>
              </w:rPr>
              <w:t>é</w:t>
            </w:r>
            <w:r w:rsidR="00562499" w:rsidRPr="00B67985">
              <w:rPr>
                <w:rFonts w:cs="Arial"/>
              </w:rPr>
              <w:t>tis</w:t>
            </w:r>
            <w:r w:rsidRPr="00B67985">
              <w:rPr>
                <w:rFonts w:cs="Arial"/>
              </w:rPr>
              <w:t xml:space="preserve"> and Inuit</w:t>
            </w:r>
            <w:r w:rsidR="00562499" w:rsidRPr="00B67985">
              <w:rPr>
                <w:rFonts w:cs="Arial"/>
              </w:rPr>
              <w:t xml:space="preserve">; </w:t>
            </w:r>
            <w:r w:rsidRPr="00B67985">
              <w:rPr>
                <w:rFonts w:cs="Arial"/>
              </w:rPr>
              <w:t>Francophone</w:t>
            </w:r>
            <w:r w:rsidR="00562499" w:rsidRPr="00B67985">
              <w:rPr>
                <w:rFonts w:cs="Arial"/>
              </w:rPr>
              <w:t xml:space="preserve">; </w:t>
            </w:r>
            <w:r w:rsidRPr="00B67985">
              <w:rPr>
                <w:rFonts w:cs="Arial"/>
              </w:rPr>
              <w:t>local government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businesses</w:t>
            </w:r>
            <w:r w:rsidR="00562499">
              <w:rPr>
                <w:rFonts w:cs="Arial"/>
              </w:rPr>
              <w:t xml:space="preserve">; </w:t>
            </w:r>
            <w:r w:rsidRPr="00B430F7">
              <w:rPr>
                <w:rFonts w:cs="Arial"/>
              </w:rPr>
              <w:t>companies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post-secondary institutions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recreation leaders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individuals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seniors</w:t>
            </w:r>
            <w:r w:rsidR="00562499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experts in occupational areas, etc.</w:t>
            </w:r>
          </w:p>
        </w:tc>
      </w:tr>
      <w:tr w:rsidR="004B4B04" w14:paraId="53391946" w14:textId="77777777" w:rsidTr="00BE1FF0">
        <w:tc>
          <w:tcPr>
            <w:tcW w:w="3290" w:type="dxa"/>
          </w:tcPr>
          <w:p w14:paraId="1D931A1E" w14:textId="77777777" w:rsidR="004B4B04" w:rsidRDefault="004B4B04" w:rsidP="00E1266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3. Does CTF planning consider possibilities for engaging the community?</w:t>
            </w:r>
          </w:p>
        </w:tc>
        <w:tc>
          <w:tcPr>
            <w:tcW w:w="6520" w:type="dxa"/>
          </w:tcPr>
          <w:p w14:paraId="39718647" w14:textId="09FD13B9" w:rsidR="004B4B04" w:rsidRPr="003635F9" w:rsidRDefault="00A77442" w:rsidP="00125D56">
            <w:pPr>
              <w:rPr>
                <w:rFonts w:cs="Arial"/>
              </w:rPr>
            </w:pPr>
            <w:r>
              <w:rPr>
                <w:rFonts w:cs="Arial"/>
              </w:rPr>
              <w:t>There are as many ways to plan for CTF as there are teachers. Planning for CTF is the responsibility of the teacher. Including the communit</w:t>
            </w:r>
            <w:r w:rsidR="00125D56">
              <w:rPr>
                <w:rFonts w:cs="Arial"/>
              </w:rPr>
              <w:t xml:space="preserve">y as part of a CTF challenge is </w:t>
            </w:r>
            <w:r>
              <w:rPr>
                <w:rFonts w:cs="Arial"/>
              </w:rPr>
              <w:t xml:space="preserve">a teacher </w:t>
            </w:r>
            <w:r w:rsidR="00125D56">
              <w:rPr>
                <w:rFonts w:cs="Arial"/>
              </w:rPr>
              <w:t xml:space="preserve">decision. Engaging the community in a CTF challenge is intended to support meaningful, authentic learning experiences and connect the how and the why of the learning. While </w:t>
            </w:r>
            <w:r>
              <w:rPr>
                <w:rFonts w:cs="Arial"/>
              </w:rPr>
              <w:t>CTF challenge templates have been developed to support teacher planning</w:t>
            </w:r>
            <w:r w:rsidR="00125D56">
              <w:rPr>
                <w:rFonts w:cs="Arial"/>
              </w:rPr>
              <w:t>, teachers are not required to use these templates.</w:t>
            </w:r>
          </w:p>
        </w:tc>
      </w:tr>
      <w:tr w:rsidR="004B4B04" w14:paraId="2FE0FE8E" w14:textId="77777777" w:rsidTr="006C15A5">
        <w:tc>
          <w:tcPr>
            <w:tcW w:w="3290" w:type="dxa"/>
          </w:tcPr>
          <w:p w14:paraId="508B7735" w14:textId="37C48E07" w:rsidR="004B4B04" w:rsidRPr="006065C0" w:rsidRDefault="004B4B04" w:rsidP="00DB488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6065C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Have possibilities for </w:t>
            </w:r>
            <w:r w:rsidR="00B623CF">
              <w:rPr>
                <w:rFonts w:cs="Arial"/>
              </w:rPr>
              <w:t>authentic and</w:t>
            </w:r>
            <w:r>
              <w:rPr>
                <w:rFonts w:cs="Arial"/>
              </w:rPr>
              <w:t xml:space="preserve"> meaningful </w:t>
            </w:r>
            <w:r w:rsidR="00B623CF">
              <w:rPr>
                <w:rFonts w:cs="Arial"/>
              </w:rPr>
              <w:t xml:space="preserve">on and </w:t>
            </w:r>
            <w:r>
              <w:rPr>
                <w:rFonts w:cs="Arial"/>
              </w:rPr>
              <w:t xml:space="preserve">off-site learning experiences through the use of resources, </w:t>
            </w:r>
            <w:r w:rsidR="00DB4885">
              <w:rPr>
                <w:rFonts w:cs="Arial"/>
              </w:rPr>
              <w:t xml:space="preserve">people and/or groups </w:t>
            </w:r>
            <w:r>
              <w:rPr>
                <w:rFonts w:cs="Arial"/>
              </w:rPr>
              <w:t>from the community been considered?</w:t>
            </w:r>
          </w:p>
        </w:tc>
        <w:tc>
          <w:tcPr>
            <w:tcW w:w="6520" w:type="dxa"/>
          </w:tcPr>
          <w:p w14:paraId="06DEE417" w14:textId="31A50B96" w:rsidR="004B4B04" w:rsidRPr="003635F9" w:rsidRDefault="00B623CF" w:rsidP="001803DF">
            <w:pPr>
              <w:rPr>
                <w:rFonts w:cs="Arial"/>
              </w:rPr>
            </w:pPr>
            <w:r>
              <w:rPr>
                <w:rFonts w:cs="Arial"/>
              </w:rPr>
              <w:t xml:space="preserve">The use of resources, </w:t>
            </w:r>
            <w:r w:rsidR="001803DF">
              <w:rPr>
                <w:rFonts w:cs="Arial"/>
              </w:rPr>
              <w:t>people and/or groups</w:t>
            </w:r>
            <w:r>
              <w:rPr>
                <w:rFonts w:cs="Arial"/>
              </w:rPr>
              <w:t xml:space="preserve"> from the community is intended to support meaningful, authentic learning experiences and connect the how and the why of the learning. Often</w:t>
            </w:r>
            <w:r w:rsidR="00033E6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students question wher</w:t>
            </w:r>
            <w:r w:rsidR="008E1617">
              <w:rPr>
                <w:rFonts w:cs="Arial"/>
              </w:rPr>
              <w:t>e or how</w:t>
            </w:r>
            <w:r>
              <w:rPr>
                <w:rFonts w:cs="Arial"/>
              </w:rPr>
              <w:t xml:space="preserve"> they will use what they are learning. CTF challenges </w:t>
            </w:r>
            <w:r w:rsidR="008E1617">
              <w:rPr>
                <w:rFonts w:cs="Arial"/>
              </w:rPr>
              <w:t>can provide learning experiences that support students developing skills, knowledge and technologies in meaningful, authentic situations.</w:t>
            </w:r>
          </w:p>
        </w:tc>
      </w:tr>
      <w:tr w:rsidR="00D0434A" w14:paraId="7A39F8D6" w14:textId="77777777" w:rsidTr="00A63FC9">
        <w:tc>
          <w:tcPr>
            <w:tcW w:w="3290" w:type="dxa"/>
          </w:tcPr>
          <w:p w14:paraId="659249E7" w14:textId="49817E01" w:rsidR="00D0434A" w:rsidRPr="00141798" w:rsidRDefault="00D0434A" w:rsidP="00D0434A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pacing w:val="1"/>
                <w:position w:val="-1"/>
              </w:rPr>
            </w:pPr>
            <w:r>
              <w:rPr>
                <w:rFonts w:eastAsia="PMingLiU" w:cs="Arial"/>
                <w:color w:val="000000"/>
                <w:spacing w:val="1"/>
                <w:position w:val="-1"/>
              </w:rPr>
              <w:t xml:space="preserve">5. </w:t>
            </w:r>
            <w:r w:rsidR="00434A09">
              <w:rPr>
                <w:rFonts w:eastAsia="PMingLiU" w:cs="Arial"/>
                <w:color w:val="000000"/>
                <w:spacing w:val="1"/>
                <w:position w:val="-1"/>
              </w:rPr>
              <w:t>Has the possibility of developing partnerships that support CTF been considered?</w:t>
            </w:r>
          </w:p>
        </w:tc>
        <w:tc>
          <w:tcPr>
            <w:tcW w:w="6520" w:type="dxa"/>
          </w:tcPr>
          <w:p w14:paraId="0BE4C7C4" w14:textId="7992F4D4" w:rsidR="00D0434A" w:rsidRDefault="008E4BE8" w:rsidP="00E12663">
            <w:pPr>
              <w:rPr>
                <w:rFonts w:cs="Arial"/>
              </w:rPr>
            </w:pPr>
            <w:r>
              <w:rPr>
                <w:rFonts w:cs="Arial"/>
              </w:rPr>
              <w:t xml:space="preserve">Developing partnerships is dependent upon the community and the needs of the CTF program. Partnerships provide the opportunity to make meaningful, authentic </w:t>
            </w:r>
            <w:r w:rsidR="004B4B04">
              <w:rPr>
                <w:rFonts w:cs="Arial"/>
              </w:rPr>
              <w:t xml:space="preserve">connections between the how and </w:t>
            </w:r>
            <w:r w:rsidR="00033E6A">
              <w:rPr>
                <w:rFonts w:cs="Arial"/>
              </w:rPr>
              <w:t xml:space="preserve">the </w:t>
            </w:r>
            <w:r w:rsidR="004B4B04">
              <w:rPr>
                <w:rFonts w:cs="Arial"/>
              </w:rPr>
              <w:t xml:space="preserve">why of learning. The how and </w:t>
            </w:r>
            <w:r w:rsidR="00033E6A">
              <w:rPr>
                <w:rFonts w:cs="Arial"/>
              </w:rPr>
              <w:t xml:space="preserve">the </w:t>
            </w:r>
            <w:r w:rsidR="004B4B04">
              <w:rPr>
                <w:rFonts w:cs="Arial"/>
              </w:rPr>
              <w:t xml:space="preserve">why of learning can range from </w:t>
            </w:r>
            <w:r w:rsidR="00E335E5">
              <w:rPr>
                <w:rFonts w:cs="Arial"/>
              </w:rPr>
              <w:t xml:space="preserve">participating in Aboriginal cultural activities to </w:t>
            </w:r>
            <w:r w:rsidR="004B4B04">
              <w:rPr>
                <w:rFonts w:cs="Arial"/>
              </w:rPr>
              <w:t>visiting a farm</w:t>
            </w:r>
            <w:r w:rsidR="00E335E5">
              <w:rPr>
                <w:rFonts w:cs="Arial"/>
              </w:rPr>
              <w:t>,</w:t>
            </w:r>
            <w:r w:rsidR="004B4B04">
              <w:rPr>
                <w:rFonts w:cs="Arial"/>
              </w:rPr>
              <w:t xml:space="preserve"> to conversing with astronauts on the space station. </w:t>
            </w:r>
            <w:r w:rsidR="00D0434A" w:rsidRPr="00D0434A">
              <w:rPr>
                <w:rFonts w:cs="Arial"/>
              </w:rPr>
              <w:t>Partnerships can include:</w:t>
            </w:r>
          </w:p>
          <w:p w14:paraId="540C1AFF" w14:textId="1569760E" w:rsidR="00D0434A" w:rsidRPr="00B430F7" w:rsidRDefault="00A7588F" w:rsidP="00B430F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lang w:val="en-US"/>
              </w:rPr>
            </w:pPr>
            <w:r>
              <w:rPr>
                <w:rFonts w:cs="Arial"/>
              </w:rPr>
              <w:t xml:space="preserve">a </w:t>
            </w:r>
            <w:r w:rsidR="00D0434A">
              <w:rPr>
                <w:rFonts w:cs="Arial"/>
              </w:rPr>
              <w:t>data</w:t>
            </w:r>
            <w:r w:rsidR="00033E6A">
              <w:rPr>
                <w:rFonts w:cs="Arial"/>
              </w:rPr>
              <w:t>base</w:t>
            </w:r>
            <w:r w:rsidR="00D0434A">
              <w:rPr>
                <w:rFonts w:cs="Arial"/>
              </w:rPr>
              <w:t xml:space="preserve"> of </w:t>
            </w:r>
            <w:r w:rsidR="00033E6A">
              <w:rPr>
                <w:rFonts w:cs="Arial"/>
              </w:rPr>
              <w:t xml:space="preserve">names of </w:t>
            </w:r>
            <w:r w:rsidR="00B430F7">
              <w:rPr>
                <w:rFonts w:cs="Arial"/>
              </w:rPr>
              <w:t xml:space="preserve">parents who </w:t>
            </w:r>
            <w:r>
              <w:rPr>
                <w:rFonts w:cs="Arial"/>
              </w:rPr>
              <w:t>are</w:t>
            </w:r>
            <w:r w:rsidR="00B430F7">
              <w:rPr>
                <w:rFonts w:cs="Arial"/>
              </w:rPr>
              <w:t xml:space="preserve"> willing to share their expertise with students</w:t>
            </w:r>
          </w:p>
          <w:p w14:paraId="32FFFE95" w14:textId="670C8A3B" w:rsidR="00B430F7" w:rsidRPr="00B430F7" w:rsidRDefault="00B430F7" w:rsidP="00B430F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lang w:val="en-US"/>
              </w:rPr>
            </w:pPr>
            <w:r>
              <w:rPr>
                <w:rFonts w:cs="Arial"/>
              </w:rPr>
              <w:t>venues in the community where students could present their work (</w:t>
            </w:r>
            <w:r w:rsidR="00033E6A">
              <w:rPr>
                <w:rFonts w:cs="Arial"/>
              </w:rPr>
              <w:t xml:space="preserve">e.g., </w:t>
            </w:r>
            <w:r>
              <w:rPr>
                <w:rFonts w:cs="Arial"/>
              </w:rPr>
              <w:t>malls, community halls, businesses, libraries, town/city councils)</w:t>
            </w:r>
          </w:p>
          <w:p w14:paraId="6139A858" w14:textId="09E2C2C4" w:rsidR="00B430F7" w:rsidRPr="00B430F7" w:rsidRDefault="00B430F7" w:rsidP="00B430F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lang w:val="en-US"/>
              </w:rPr>
            </w:pPr>
            <w:r w:rsidRPr="00B430F7">
              <w:rPr>
                <w:rFonts w:cs="Arial"/>
              </w:rPr>
              <w:t>groups that students could work with</w:t>
            </w:r>
            <w:r>
              <w:rPr>
                <w:rFonts w:cs="Arial"/>
              </w:rPr>
              <w:t xml:space="preserve"> (</w:t>
            </w:r>
            <w:r w:rsidR="00033E6A">
              <w:rPr>
                <w:rFonts w:cs="Arial"/>
              </w:rPr>
              <w:t xml:space="preserve">e.g., </w:t>
            </w:r>
            <w:r>
              <w:rPr>
                <w:rFonts w:cs="Arial"/>
              </w:rPr>
              <w:t xml:space="preserve">seniors, younger/older grades, hospitals, </w:t>
            </w:r>
            <w:r w:rsidR="00A7588F">
              <w:rPr>
                <w:rFonts w:cs="Arial"/>
              </w:rPr>
              <w:t>drop-in centres</w:t>
            </w:r>
            <w:r>
              <w:rPr>
                <w:rFonts w:cs="Arial"/>
              </w:rPr>
              <w:t>)</w:t>
            </w:r>
          </w:p>
          <w:p w14:paraId="2F9BAC48" w14:textId="53CEA7EE" w:rsidR="008E4BE8" w:rsidRPr="004B4B04" w:rsidRDefault="00A7588F" w:rsidP="004B4B04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rial"/>
              </w:rPr>
            </w:pPr>
            <w:r>
              <w:rPr>
                <w:rFonts w:cs="Arial"/>
              </w:rPr>
              <w:t xml:space="preserve">individuals, </w:t>
            </w:r>
            <w:r w:rsidR="00E335E5">
              <w:rPr>
                <w:rFonts w:cs="Arial"/>
              </w:rPr>
              <w:t xml:space="preserve">storytellers, </w:t>
            </w:r>
            <w:r w:rsidR="00B430F7" w:rsidRPr="00B430F7">
              <w:rPr>
                <w:rFonts w:cs="Arial"/>
              </w:rPr>
              <w:t>businesses</w:t>
            </w:r>
            <w:r>
              <w:rPr>
                <w:rFonts w:cs="Arial"/>
              </w:rPr>
              <w:t>,</w:t>
            </w:r>
            <w:r w:rsidR="00B430F7" w:rsidRPr="00B430F7">
              <w:rPr>
                <w:rFonts w:cs="Arial"/>
              </w:rPr>
              <w:t xml:space="preserve"> companies </w:t>
            </w:r>
            <w:r w:rsidRPr="00B430F7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post-secondary institutions willing to share occupational area expertise with</w:t>
            </w:r>
            <w:r w:rsidR="00B430F7" w:rsidRPr="00B430F7">
              <w:rPr>
                <w:rFonts w:cs="Arial"/>
              </w:rPr>
              <w:t xml:space="preserve"> </w:t>
            </w:r>
            <w:r w:rsidR="008E4BE8">
              <w:rPr>
                <w:rFonts w:cs="Arial"/>
              </w:rPr>
              <w:t>students (</w:t>
            </w:r>
            <w:r w:rsidR="00033E6A">
              <w:rPr>
                <w:rFonts w:cs="Arial"/>
              </w:rPr>
              <w:t xml:space="preserve">i.e., </w:t>
            </w:r>
            <w:r>
              <w:rPr>
                <w:rFonts w:cs="Arial"/>
              </w:rPr>
              <w:t>sharing can be internal or external to the school)</w:t>
            </w:r>
          </w:p>
          <w:p w14:paraId="3F174189" w14:textId="5B569E36" w:rsidR="00B430F7" w:rsidRPr="008E1617" w:rsidRDefault="00A7588F" w:rsidP="00B430F7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rial"/>
              </w:rPr>
            </w:pPr>
            <w:r>
              <w:rPr>
                <w:rFonts w:cs="Arial"/>
              </w:rPr>
              <w:t>digital interaction (</w:t>
            </w:r>
            <w:r w:rsidR="00033E6A">
              <w:rPr>
                <w:rFonts w:cs="Arial"/>
              </w:rPr>
              <w:t xml:space="preserve">e.g., </w:t>
            </w:r>
            <w:r>
              <w:rPr>
                <w:rFonts w:cs="Arial"/>
              </w:rPr>
              <w:t xml:space="preserve">connecting with experts in the field through emails, texts, </w:t>
            </w:r>
            <w:r w:rsidR="00033E6A">
              <w:rPr>
                <w:rFonts w:cs="Arial"/>
              </w:rPr>
              <w:t>S</w:t>
            </w:r>
            <w:r>
              <w:rPr>
                <w:rFonts w:cs="Arial"/>
              </w:rPr>
              <w:t>kype or video-conferencing)</w:t>
            </w:r>
          </w:p>
        </w:tc>
      </w:tr>
    </w:tbl>
    <w:p w14:paraId="3F35DDB5" w14:textId="53CF9C81" w:rsidR="002E736A" w:rsidRDefault="002E736A" w:rsidP="00F3114B">
      <w:pPr>
        <w:spacing w:after="0" w:line="240" w:lineRule="auto"/>
        <w:rPr>
          <w:lang w:val="en-US"/>
        </w:rPr>
      </w:pPr>
    </w:p>
    <w:p w14:paraId="4E116C7D" w14:textId="77777777" w:rsidR="002E736A" w:rsidRDefault="002E736A" w:rsidP="00F3114B">
      <w:pPr>
        <w:spacing w:after="0" w:line="240" w:lineRule="auto"/>
        <w:rPr>
          <w:lang w:val="en-US"/>
        </w:rPr>
      </w:pPr>
    </w:p>
    <w:sectPr w:rsidR="002E736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47F2D" w14:textId="77777777" w:rsidR="00D1483A" w:rsidRDefault="00D1483A" w:rsidP="003E2E30">
      <w:pPr>
        <w:spacing w:after="0" w:line="240" w:lineRule="auto"/>
      </w:pPr>
      <w:r>
        <w:separator/>
      </w:r>
    </w:p>
  </w:endnote>
  <w:endnote w:type="continuationSeparator" w:id="0">
    <w:p w14:paraId="10532E3C" w14:textId="77777777" w:rsidR="00D1483A" w:rsidRDefault="00D1483A" w:rsidP="003E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D491" w14:textId="718F9822" w:rsidR="003433E4" w:rsidRPr="001F7CF2" w:rsidRDefault="003433E4">
    <w:pPr>
      <w:pStyle w:val="Footer"/>
      <w:rPr>
        <w:sz w:val="18"/>
        <w:szCs w:val="18"/>
      </w:rPr>
    </w:pPr>
    <w:r w:rsidRPr="00C84643">
      <w:rPr>
        <w:sz w:val="18"/>
        <w:szCs w:val="18"/>
      </w:rPr>
      <w:t>© 201</w:t>
    </w:r>
    <w:r w:rsidR="00B334E1">
      <w:rPr>
        <w:sz w:val="18"/>
        <w:szCs w:val="18"/>
      </w:rPr>
      <w:t>7</w:t>
    </w:r>
    <w:r>
      <w:rPr>
        <w:sz w:val="18"/>
        <w:szCs w:val="18"/>
      </w:rPr>
      <w:t xml:space="preserve"> </w:t>
    </w:r>
    <w:r w:rsidRPr="00C84643">
      <w:rPr>
        <w:sz w:val="18"/>
        <w:szCs w:val="18"/>
      </w:rPr>
      <w:t>Alberta Education, Alberta, Canada</w:t>
    </w:r>
    <w:r>
      <w:rPr>
        <w:sz w:val="18"/>
        <w:szCs w:val="18"/>
      </w:rPr>
      <w:t xml:space="preserve"> </w:t>
    </w:r>
    <w:r w:rsidRPr="00EC021E">
      <w:rPr>
        <w:sz w:val="18"/>
        <w:szCs w:val="18"/>
      </w:rPr>
      <w:ptab w:relativeTo="margin" w:alignment="center" w:leader="none"/>
    </w:r>
    <w:r w:rsidRPr="00EC021E">
      <w:rPr>
        <w:sz w:val="18"/>
        <w:szCs w:val="18"/>
      </w:rPr>
      <w:ptab w:relativeTo="margin" w:alignment="right" w:leader="none"/>
    </w:r>
    <w:r w:rsidRPr="00EC021E">
      <w:rPr>
        <w:sz w:val="18"/>
        <w:szCs w:val="18"/>
      </w:rPr>
      <w:t xml:space="preserve">Page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PAGE  \* Arabic  \* MERGEFORMAT </w:instrText>
    </w:r>
    <w:r w:rsidRPr="00EC021E">
      <w:rPr>
        <w:b/>
        <w:sz w:val="18"/>
        <w:szCs w:val="18"/>
      </w:rPr>
      <w:fldChar w:fldCharType="separate"/>
    </w:r>
    <w:r w:rsidR="00EA3160">
      <w:rPr>
        <w:b/>
        <w:noProof/>
        <w:sz w:val="18"/>
        <w:szCs w:val="18"/>
      </w:rPr>
      <w:t>1</w:t>
    </w:r>
    <w:r w:rsidRPr="00EC021E">
      <w:rPr>
        <w:b/>
        <w:sz w:val="18"/>
        <w:szCs w:val="18"/>
      </w:rPr>
      <w:fldChar w:fldCharType="end"/>
    </w:r>
    <w:r w:rsidRPr="00EC021E">
      <w:rPr>
        <w:sz w:val="18"/>
        <w:szCs w:val="18"/>
      </w:rPr>
      <w:t xml:space="preserve"> of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NUMPAGES  \* Arabic  \* MERGEFORMAT </w:instrText>
    </w:r>
    <w:r w:rsidRPr="00EC021E">
      <w:rPr>
        <w:b/>
        <w:sz w:val="18"/>
        <w:szCs w:val="18"/>
      </w:rPr>
      <w:fldChar w:fldCharType="separate"/>
    </w:r>
    <w:r w:rsidR="00EA3160">
      <w:rPr>
        <w:b/>
        <w:noProof/>
        <w:sz w:val="18"/>
        <w:szCs w:val="18"/>
      </w:rPr>
      <w:t>2</w:t>
    </w:r>
    <w:r w:rsidRPr="00EC021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12B6" w14:textId="77777777" w:rsidR="00D1483A" w:rsidRDefault="00D1483A" w:rsidP="003E2E30">
      <w:pPr>
        <w:spacing w:after="0" w:line="240" w:lineRule="auto"/>
      </w:pPr>
      <w:r>
        <w:separator/>
      </w:r>
    </w:p>
  </w:footnote>
  <w:footnote w:type="continuationSeparator" w:id="0">
    <w:p w14:paraId="47BBBCD6" w14:textId="77777777" w:rsidR="00D1483A" w:rsidRDefault="00D1483A" w:rsidP="003E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DF5" w14:textId="56631938" w:rsidR="003E2E30" w:rsidRPr="00EA554F" w:rsidRDefault="003E2E30" w:rsidP="00EA554F">
    <w:pPr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ADA"/>
    <w:multiLevelType w:val="hybridMultilevel"/>
    <w:tmpl w:val="22BA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EB3"/>
    <w:multiLevelType w:val="hybridMultilevel"/>
    <w:tmpl w:val="28A6B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E0A"/>
    <w:multiLevelType w:val="hybridMultilevel"/>
    <w:tmpl w:val="487A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027"/>
    <w:multiLevelType w:val="hybridMultilevel"/>
    <w:tmpl w:val="8AFEA1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478D"/>
    <w:multiLevelType w:val="hybridMultilevel"/>
    <w:tmpl w:val="2C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15799"/>
    <w:rsid w:val="00023CFB"/>
    <w:rsid w:val="00026D85"/>
    <w:rsid w:val="000300A3"/>
    <w:rsid w:val="00033E6A"/>
    <w:rsid w:val="00036868"/>
    <w:rsid w:val="000427A8"/>
    <w:rsid w:val="00043850"/>
    <w:rsid w:val="000563F2"/>
    <w:rsid w:val="000D2168"/>
    <w:rsid w:val="000E37E4"/>
    <w:rsid w:val="000F5FB5"/>
    <w:rsid w:val="00123014"/>
    <w:rsid w:val="00125D56"/>
    <w:rsid w:val="001363CD"/>
    <w:rsid w:val="00141798"/>
    <w:rsid w:val="00163497"/>
    <w:rsid w:val="001676FE"/>
    <w:rsid w:val="001803DF"/>
    <w:rsid w:val="001A7826"/>
    <w:rsid w:val="001B6F98"/>
    <w:rsid w:val="001D016F"/>
    <w:rsid w:val="001E4705"/>
    <w:rsid w:val="001F628B"/>
    <w:rsid w:val="001F6FE3"/>
    <w:rsid w:val="001F7CF2"/>
    <w:rsid w:val="002053D0"/>
    <w:rsid w:val="00207178"/>
    <w:rsid w:val="00217B45"/>
    <w:rsid w:val="002226D1"/>
    <w:rsid w:val="002A6113"/>
    <w:rsid w:val="002C4F22"/>
    <w:rsid w:val="002C7C59"/>
    <w:rsid w:val="002D3A61"/>
    <w:rsid w:val="002D4E8C"/>
    <w:rsid w:val="002E736A"/>
    <w:rsid w:val="002F12C9"/>
    <w:rsid w:val="003214DB"/>
    <w:rsid w:val="003433E4"/>
    <w:rsid w:val="00344105"/>
    <w:rsid w:val="003635F9"/>
    <w:rsid w:val="00380AF5"/>
    <w:rsid w:val="00383F68"/>
    <w:rsid w:val="003A2BD6"/>
    <w:rsid w:val="003B2C8D"/>
    <w:rsid w:val="003E2E30"/>
    <w:rsid w:val="003F482B"/>
    <w:rsid w:val="00412564"/>
    <w:rsid w:val="004254C5"/>
    <w:rsid w:val="00434A09"/>
    <w:rsid w:val="004404E4"/>
    <w:rsid w:val="00465A5A"/>
    <w:rsid w:val="004773F5"/>
    <w:rsid w:val="0048609E"/>
    <w:rsid w:val="004B4B04"/>
    <w:rsid w:val="004C0941"/>
    <w:rsid w:val="004C57DD"/>
    <w:rsid w:val="004D07D1"/>
    <w:rsid w:val="004E2865"/>
    <w:rsid w:val="004E7860"/>
    <w:rsid w:val="00507551"/>
    <w:rsid w:val="00562499"/>
    <w:rsid w:val="00562A65"/>
    <w:rsid w:val="00576D48"/>
    <w:rsid w:val="00585C58"/>
    <w:rsid w:val="005A3088"/>
    <w:rsid w:val="005A32FA"/>
    <w:rsid w:val="005B1B3D"/>
    <w:rsid w:val="005B6304"/>
    <w:rsid w:val="006065C0"/>
    <w:rsid w:val="00633899"/>
    <w:rsid w:val="00641C6E"/>
    <w:rsid w:val="00694C7E"/>
    <w:rsid w:val="006C1389"/>
    <w:rsid w:val="006C7098"/>
    <w:rsid w:val="006D0EFB"/>
    <w:rsid w:val="006D52A3"/>
    <w:rsid w:val="0070602F"/>
    <w:rsid w:val="007368AC"/>
    <w:rsid w:val="0078322C"/>
    <w:rsid w:val="007A3CC1"/>
    <w:rsid w:val="007E572A"/>
    <w:rsid w:val="007F72BA"/>
    <w:rsid w:val="00801909"/>
    <w:rsid w:val="00814F5D"/>
    <w:rsid w:val="0087465F"/>
    <w:rsid w:val="008B1FBE"/>
    <w:rsid w:val="008B6D92"/>
    <w:rsid w:val="008E1617"/>
    <w:rsid w:val="008E4BE8"/>
    <w:rsid w:val="008F5513"/>
    <w:rsid w:val="00907D6B"/>
    <w:rsid w:val="00955B5F"/>
    <w:rsid w:val="00972682"/>
    <w:rsid w:val="009B042C"/>
    <w:rsid w:val="009B2828"/>
    <w:rsid w:val="009C182D"/>
    <w:rsid w:val="009C5DDD"/>
    <w:rsid w:val="009D5B57"/>
    <w:rsid w:val="00A32AFC"/>
    <w:rsid w:val="00A5779A"/>
    <w:rsid w:val="00A74188"/>
    <w:rsid w:val="00A7588F"/>
    <w:rsid w:val="00A77442"/>
    <w:rsid w:val="00A83D55"/>
    <w:rsid w:val="00AB5CBF"/>
    <w:rsid w:val="00AD1F2B"/>
    <w:rsid w:val="00AD493C"/>
    <w:rsid w:val="00AD66B7"/>
    <w:rsid w:val="00B037CB"/>
    <w:rsid w:val="00B334E1"/>
    <w:rsid w:val="00B430F7"/>
    <w:rsid w:val="00B4394D"/>
    <w:rsid w:val="00B623CF"/>
    <w:rsid w:val="00B652B0"/>
    <w:rsid w:val="00B67985"/>
    <w:rsid w:val="00C56B8A"/>
    <w:rsid w:val="00C636D9"/>
    <w:rsid w:val="00C8090B"/>
    <w:rsid w:val="00CB01CB"/>
    <w:rsid w:val="00CB1683"/>
    <w:rsid w:val="00CB328D"/>
    <w:rsid w:val="00CB33D7"/>
    <w:rsid w:val="00CC3038"/>
    <w:rsid w:val="00CE04E4"/>
    <w:rsid w:val="00CE1327"/>
    <w:rsid w:val="00D0434A"/>
    <w:rsid w:val="00D11C4F"/>
    <w:rsid w:val="00D1483A"/>
    <w:rsid w:val="00D2562A"/>
    <w:rsid w:val="00D33E5D"/>
    <w:rsid w:val="00D36C1C"/>
    <w:rsid w:val="00D63BE5"/>
    <w:rsid w:val="00D63FF5"/>
    <w:rsid w:val="00D858AF"/>
    <w:rsid w:val="00D90CA5"/>
    <w:rsid w:val="00DA128B"/>
    <w:rsid w:val="00DB4885"/>
    <w:rsid w:val="00DD4FC4"/>
    <w:rsid w:val="00DE0DA6"/>
    <w:rsid w:val="00E126F2"/>
    <w:rsid w:val="00E335E5"/>
    <w:rsid w:val="00E44368"/>
    <w:rsid w:val="00E7795C"/>
    <w:rsid w:val="00EA3160"/>
    <w:rsid w:val="00EA3B1E"/>
    <w:rsid w:val="00EA554F"/>
    <w:rsid w:val="00EB7056"/>
    <w:rsid w:val="00EC4207"/>
    <w:rsid w:val="00EC6FF7"/>
    <w:rsid w:val="00EF79B3"/>
    <w:rsid w:val="00F25BE0"/>
    <w:rsid w:val="00F275DC"/>
    <w:rsid w:val="00F3114B"/>
    <w:rsid w:val="00F32B91"/>
    <w:rsid w:val="00F47308"/>
    <w:rsid w:val="00F64A8A"/>
    <w:rsid w:val="00FD4954"/>
    <w:rsid w:val="00FE4D09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9FD3449"/>
  <w15:docId w15:val="{3E2789FD-3709-40CD-968E-A11D15E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30"/>
  </w:style>
  <w:style w:type="paragraph" w:styleId="Footer">
    <w:name w:val="footer"/>
    <w:basedOn w:val="Normal"/>
    <w:link w:val="FooterChar"/>
    <w:uiPriority w:val="99"/>
    <w:unhideWhenUsed/>
    <w:rsid w:val="003E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30"/>
  </w:style>
  <w:style w:type="character" w:styleId="CommentReference">
    <w:name w:val="annotation reference"/>
    <w:basedOn w:val="DefaultParagraphFont"/>
    <w:uiPriority w:val="99"/>
    <w:semiHidden/>
    <w:unhideWhenUsed/>
    <w:rsid w:val="001F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mccann\Desktop\CTF\CTF%20Working%20Resources\CTF%20Readiness%20Checklists\CTF%20Community%20Readiness%20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C0DB-3D2F-4856-8C9F-F71B660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CTF Community Readiness Checklist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Alberta Education</dc:creator>
  <cp:lastModifiedBy>David McCann</cp:lastModifiedBy>
  <cp:revision>2</cp:revision>
  <cp:lastPrinted>2017-09-13T20:18:00Z</cp:lastPrinted>
  <dcterms:created xsi:type="dcterms:W3CDTF">2017-11-07T21:22:00Z</dcterms:created>
  <dcterms:modified xsi:type="dcterms:W3CDTF">2017-11-07T21:22:00Z</dcterms:modified>
</cp:coreProperties>
</file>