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02F87" w14:textId="2D50EB34" w:rsidR="0087465F" w:rsidRPr="00F22B12" w:rsidRDefault="0085087A" w:rsidP="00F3114B">
      <w:pPr>
        <w:spacing w:after="0" w:line="240" w:lineRule="auto"/>
        <w:rPr>
          <w:rFonts w:ascii="Calibri" w:eastAsia="Calibri" w:hAnsi="Calibri" w:cs="Times New Roman"/>
          <w:b/>
          <w:bCs/>
          <w:sz w:val="40"/>
          <w:szCs w:val="40"/>
          <w:lang w:val="fr-CA"/>
        </w:rPr>
      </w:pPr>
      <w:bookmarkStart w:id="0" w:name="_GoBack"/>
      <w:bookmarkEnd w:id="0"/>
      <w:r>
        <w:rPr>
          <w:rFonts w:ascii="Calibri" w:eastAsia="Calibri" w:hAnsi="Calibri" w:cs="Times New Roman"/>
          <w:noProof/>
          <w:lang w:eastAsia="en-CA"/>
        </w:rPr>
        <w:drawing>
          <wp:anchor distT="152400" distB="152400" distL="152400" distR="152400" simplePos="0" relativeHeight="251661312" behindDoc="1" locked="0" layoutInCell="1" allowOverlap="1" wp14:anchorId="5EB8AE04" wp14:editId="73141A20">
            <wp:simplePos x="0" y="0"/>
            <wp:positionH relativeFrom="margin">
              <wp:posOffset>-114300</wp:posOffset>
            </wp:positionH>
            <wp:positionV relativeFrom="page">
              <wp:posOffset>723900</wp:posOffset>
            </wp:positionV>
            <wp:extent cx="461645" cy="3143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314325"/>
                    </a:xfrm>
                    <a:prstGeom prst="rect">
                      <a:avLst/>
                    </a:prstGeom>
                    <a:noFill/>
                    <a:ln>
                      <a:noFill/>
                    </a:ln>
                  </pic:spPr>
                </pic:pic>
              </a:graphicData>
            </a:graphic>
          </wp:anchor>
        </w:drawing>
      </w:r>
      <w:r w:rsidR="00F22B12">
        <w:rPr>
          <w:rFonts w:ascii="Calibri" w:eastAsia="Calibri" w:hAnsi="Calibri" w:cs="Times New Roman"/>
          <w:b/>
          <w:bCs/>
          <w:sz w:val="40"/>
          <w:szCs w:val="40"/>
          <w:lang w:val="fr-CA"/>
        </w:rPr>
        <w:t xml:space="preserve">Liste de </w:t>
      </w:r>
      <w:r w:rsidR="00F22B12" w:rsidRPr="00163801">
        <w:rPr>
          <w:rFonts w:ascii="Calibri" w:eastAsia="Calibri" w:hAnsi="Calibri" w:cs="Times New Roman"/>
          <w:b/>
          <w:bCs/>
          <w:sz w:val="40"/>
          <w:szCs w:val="40"/>
          <w:lang w:val="fr-CA"/>
        </w:rPr>
        <w:t xml:space="preserve">vérification </w:t>
      </w:r>
      <w:r w:rsidR="0087465F" w:rsidRPr="00163801">
        <w:rPr>
          <w:rFonts w:ascii="Calibri" w:eastAsia="Calibri" w:hAnsi="Calibri" w:cs="Times New Roman"/>
          <w:b/>
          <w:bCs/>
          <w:sz w:val="40"/>
          <w:szCs w:val="40"/>
          <w:lang w:val="fr-CA"/>
        </w:rPr>
        <w:t>F</w:t>
      </w:r>
      <w:r w:rsidR="005A14D5">
        <w:rPr>
          <w:rFonts w:ascii="Calibri" w:eastAsia="Calibri" w:hAnsi="Calibri" w:cs="Times New Roman"/>
          <w:b/>
          <w:bCs/>
          <w:sz w:val="40"/>
          <w:szCs w:val="40"/>
          <w:lang w:val="fr-CA"/>
        </w:rPr>
        <w:t>CT </w:t>
      </w:r>
      <w:r w:rsidR="00F22B12" w:rsidRPr="00163801">
        <w:rPr>
          <w:rFonts w:ascii="Calibri" w:eastAsia="Calibri" w:hAnsi="Calibri" w:cs="Times New Roman"/>
          <w:b/>
          <w:bCs/>
          <w:sz w:val="40"/>
          <w:szCs w:val="40"/>
          <w:lang w:val="fr-CA"/>
        </w:rPr>
        <w:t>: communauté</w:t>
      </w:r>
    </w:p>
    <w:p w14:paraId="10E73E99" w14:textId="2FF648C8" w:rsidR="005A14D5" w:rsidRPr="002166F2" w:rsidRDefault="005A14D5" w:rsidP="002166F2">
      <w:pPr>
        <w:spacing w:after="60" w:line="240" w:lineRule="auto"/>
        <w:rPr>
          <w:rFonts w:cs="Arial"/>
          <w:lang w:val="fr-CA"/>
        </w:rPr>
      </w:pPr>
    </w:p>
    <w:p w14:paraId="7DC99798" w14:textId="16C820FB" w:rsidR="008B6D92" w:rsidRPr="00431BC3" w:rsidRDefault="002C7C59" w:rsidP="005A14D5">
      <w:pPr>
        <w:spacing w:after="0" w:line="240" w:lineRule="auto"/>
        <w:rPr>
          <w:rFonts w:ascii="Arial" w:hAnsi="Arial" w:cs="Arial"/>
          <w:lang w:val="fr-CA"/>
        </w:rPr>
      </w:pPr>
      <w:r>
        <w:rPr>
          <w:rFonts w:ascii="Arial" w:hAnsi="Arial" w:cs="Arial"/>
          <w:lang w:val="fr-CA"/>
        </w:rPr>
        <w:t>La communauté est une ressource précieuse lors de la création d</w:t>
      </w:r>
      <w:r w:rsidR="00BE23F8">
        <w:rPr>
          <w:rFonts w:ascii="Arial" w:hAnsi="Arial" w:cs="Arial"/>
          <w:lang w:val="fr-CA"/>
        </w:rPr>
        <w:t>’</w:t>
      </w:r>
      <w:r>
        <w:rPr>
          <w:rFonts w:ascii="Arial" w:hAnsi="Arial" w:cs="Arial"/>
          <w:lang w:val="fr-CA"/>
        </w:rPr>
        <w:t>expériences d</w:t>
      </w:r>
      <w:r w:rsidR="00BE23F8">
        <w:rPr>
          <w:rFonts w:ascii="Arial" w:hAnsi="Arial" w:cs="Arial"/>
          <w:lang w:val="fr-CA"/>
        </w:rPr>
        <w:t>’</w:t>
      </w:r>
      <w:r>
        <w:rPr>
          <w:rFonts w:ascii="Arial" w:hAnsi="Arial" w:cs="Arial"/>
          <w:lang w:val="fr-CA"/>
        </w:rPr>
        <w:t>apprentissage pour</w:t>
      </w:r>
      <w:r w:rsidR="005A14D5">
        <w:rPr>
          <w:rFonts w:ascii="Arial" w:hAnsi="Arial" w:cs="Arial"/>
          <w:lang w:val="fr-CA"/>
        </w:rPr>
        <w:t> </w:t>
      </w:r>
      <w:r>
        <w:rPr>
          <w:rFonts w:ascii="Arial" w:hAnsi="Arial" w:cs="Arial"/>
          <w:lang w:val="fr-CA"/>
        </w:rPr>
        <w:t>les</w:t>
      </w:r>
      <w:r w:rsidR="005A14D5">
        <w:rPr>
          <w:rFonts w:ascii="Arial" w:hAnsi="Arial" w:cs="Arial"/>
          <w:lang w:val="fr-CA"/>
        </w:rPr>
        <w:t> </w:t>
      </w:r>
      <w:r>
        <w:rPr>
          <w:rFonts w:ascii="Arial" w:hAnsi="Arial" w:cs="Arial"/>
          <w:lang w:val="fr-CA"/>
        </w:rPr>
        <w:t>élèves. Une communauté engagée soutient des expériences d</w:t>
      </w:r>
      <w:r w:rsidR="00BE23F8">
        <w:rPr>
          <w:rFonts w:ascii="Arial" w:hAnsi="Arial" w:cs="Arial"/>
          <w:lang w:val="fr-CA"/>
        </w:rPr>
        <w:t>’</w:t>
      </w:r>
      <w:r>
        <w:rPr>
          <w:rFonts w:ascii="Arial" w:hAnsi="Arial" w:cs="Arial"/>
          <w:lang w:val="fr-CA"/>
        </w:rPr>
        <w:t xml:space="preserve">apprentissage significatives, authentiques et pertinentes. </w:t>
      </w:r>
      <w:r w:rsidR="00431BC3">
        <w:rPr>
          <w:rFonts w:ascii="Arial" w:hAnsi="Arial" w:cs="Arial"/>
          <w:lang w:val="fr-CA"/>
        </w:rPr>
        <w:t xml:space="preserve">Divers membres de la </w:t>
      </w:r>
      <w:r>
        <w:rPr>
          <w:rFonts w:ascii="Arial" w:hAnsi="Arial" w:cs="Arial"/>
          <w:lang w:val="fr-CA"/>
        </w:rPr>
        <w:t>communauté sont prêts à soutenir l</w:t>
      </w:r>
      <w:r w:rsidR="00BE23F8">
        <w:rPr>
          <w:rFonts w:ascii="Arial" w:hAnsi="Arial" w:cs="Arial"/>
          <w:lang w:val="fr-CA"/>
        </w:rPr>
        <w:t>’</w:t>
      </w:r>
      <w:r w:rsidR="00F22B12">
        <w:rPr>
          <w:rFonts w:ascii="Arial" w:hAnsi="Arial" w:cs="Arial"/>
          <w:lang w:val="fr-CA"/>
        </w:rPr>
        <w:t xml:space="preserve">apprentissage des </w:t>
      </w:r>
      <w:r w:rsidR="00F22B12" w:rsidRPr="00163801">
        <w:rPr>
          <w:rFonts w:ascii="Arial" w:hAnsi="Arial" w:cs="Arial"/>
          <w:lang w:val="fr-CA"/>
        </w:rPr>
        <w:t>élèves directement et indirectement</w:t>
      </w:r>
      <w:r w:rsidR="00396B60" w:rsidRPr="00163801">
        <w:rPr>
          <w:rFonts w:ascii="Arial" w:hAnsi="Arial" w:cs="Arial"/>
          <w:lang w:val="fr-CA"/>
        </w:rPr>
        <w:t>, que ce soit des élèves, d</w:t>
      </w:r>
      <w:r w:rsidRPr="00163801">
        <w:rPr>
          <w:rFonts w:ascii="Arial" w:hAnsi="Arial" w:cs="Arial"/>
          <w:lang w:val="fr-CA"/>
        </w:rPr>
        <w:t>es</w:t>
      </w:r>
      <w:r w:rsidR="00396B60" w:rsidRPr="00163801">
        <w:rPr>
          <w:rFonts w:ascii="Arial" w:hAnsi="Arial" w:cs="Arial"/>
          <w:lang w:val="fr-CA"/>
        </w:rPr>
        <w:t xml:space="preserve"> parents, d</w:t>
      </w:r>
      <w:r w:rsidRPr="00163801">
        <w:rPr>
          <w:rFonts w:ascii="Arial" w:hAnsi="Arial" w:cs="Arial"/>
          <w:lang w:val="fr-CA"/>
        </w:rPr>
        <w:t>es grands</w:t>
      </w:r>
      <w:r w:rsidR="00396B60" w:rsidRPr="00163801">
        <w:rPr>
          <w:rFonts w:ascii="Arial" w:hAnsi="Arial" w:cs="Arial"/>
          <w:lang w:val="fr-CA"/>
        </w:rPr>
        <w:t>-parents, le</w:t>
      </w:r>
      <w:r w:rsidR="005A14D5">
        <w:rPr>
          <w:rFonts w:ascii="Arial" w:hAnsi="Arial" w:cs="Arial"/>
          <w:lang w:val="fr-CA"/>
        </w:rPr>
        <w:t> </w:t>
      </w:r>
      <w:r w:rsidR="00396B60" w:rsidRPr="00163801">
        <w:rPr>
          <w:rFonts w:ascii="Arial" w:hAnsi="Arial" w:cs="Arial"/>
          <w:lang w:val="fr-CA"/>
        </w:rPr>
        <w:t>conseil scolaire, d</w:t>
      </w:r>
      <w:r w:rsidRPr="00163801">
        <w:rPr>
          <w:rFonts w:ascii="Arial" w:hAnsi="Arial" w:cs="Arial"/>
          <w:lang w:val="fr-CA"/>
        </w:rPr>
        <w:t xml:space="preserve">es </w:t>
      </w:r>
      <w:r w:rsidR="00A93F51">
        <w:rPr>
          <w:rFonts w:ascii="Arial" w:hAnsi="Arial" w:cs="Arial"/>
          <w:lang w:val="fr-CA"/>
        </w:rPr>
        <w:t>A</w:t>
      </w:r>
      <w:r w:rsidR="0025313C" w:rsidRPr="00163801">
        <w:rPr>
          <w:rFonts w:ascii="Arial" w:hAnsi="Arial" w:cs="Arial"/>
          <w:lang w:val="fr-CA"/>
        </w:rPr>
        <w:t>inés</w:t>
      </w:r>
      <w:r w:rsidR="00396B60" w:rsidRPr="00163801">
        <w:rPr>
          <w:rFonts w:ascii="Arial" w:hAnsi="Arial" w:cs="Arial"/>
          <w:lang w:val="fr-CA"/>
        </w:rPr>
        <w:t>, d</w:t>
      </w:r>
      <w:r w:rsidRPr="00163801">
        <w:rPr>
          <w:rFonts w:ascii="Arial" w:hAnsi="Arial" w:cs="Arial"/>
          <w:lang w:val="fr-CA"/>
        </w:rPr>
        <w:t>es leade</w:t>
      </w:r>
      <w:r w:rsidR="0025313C" w:rsidRPr="00163801">
        <w:rPr>
          <w:rFonts w:ascii="Arial" w:hAnsi="Arial" w:cs="Arial"/>
          <w:lang w:val="fr-CA"/>
        </w:rPr>
        <w:t>u</w:t>
      </w:r>
      <w:r w:rsidR="00396B60" w:rsidRPr="00163801">
        <w:rPr>
          <w:rFonts w:ascii="Arial" w:hAnsi="Arial" w:cs="Arial"/>
          <w:lang w:val="fr-CA"/>
        </w:rPr>
        <w:t>rs, d</w:t>
      </w:r>
      <w:r w:rsidRPr="00163801">
        <w:rPr>
          <w:rFonts w:ascii="Arial" w:hAnsi="Arial" w:cs="Arial"/>
          <w:lang w:val="fr-CA"/>
        </w:rPr>
        <w:t xml:space="preserve">es entreprises, </w:t>
      </w:r>
      <w:r w:rsidR="00396B60" w:rsidRPr="00163801">
        <w:rPr>
          <w:rFonts w:ascii="Arial" w:hAnsi="Arial" w:cs="Arial"/>
          <w:lang w:val="fr-CA"/>
        </w:rPr>
        <w:t xml:space="preserve">des experts, des </w:t>
      </w:r>
      <w:r w:rsidRPr="00163801">
        <w:rPr>
          <w:rFonts w:ascii="Arial" w:hAnsi="Arial" w:cs="Arial"/>
          <w:lang w:val="fr-CA"/>
        </w:rPr>
        <w:t>industrie</w:t>
      </w:r>
      <w:r w:rsidR="00396B60" w:rsidRPr="00163801">
        <w:rPr>
          <w:rFonts w:ascii="Arial" w:hAnsi="Arial" w:cs="Arial"/>
          <w:lang w:val="fr-CA"/>
        </w:rPr>
        <w:t>s</w:t>
      </w:r>
      <w:r w:rsidRPr="00163801">
        <w:rPr>
          <w:rFonts w:ascii="Arial" w:hAnsi="Arial" w:cs="Arial"/>
          <w:lang w:val="fr-CA"/>
        </w:rPr>
        <w:t>, d</w:t>
      </w:r>
      <w:r w:rsidR="00BE23F8" w:rsidRPr="00163801">
        <w:rPr>
          <w:rFonts w:ascii="Arial" w:hAnsi="Arial" w:cs="Arial"/>
          <w:lang w:val="fr-CA"/>
        </w:rPr>
        <w:t>’</w:t>
      </w:r>
      <w:r w:rsidR="00396B60" w:rsidRPr="00163801">
        <w:rPr>
          <w:rFonts w:ascii="Arial" w:hAnsi="Arial" w:cs="Arial"/>
          <w:lang w:val="fr-CA"/>
        </w:rPr>
        <w:t>autres écoles ou d</w:t>
      </w:r>
      <w:r w:rsidR="00431BC3" w:rsidRPr="00163801">
        <w:rPr>
          <w:rFonts w:ascii="Arial" w:hAnsi="Arial" w:cs="Arial"/>
          <w:lang w:val="fr-CA"/>
        </w:rPr>
        <w:t xml:space="preserve">es </w:t>
      </w:r>
      <w:r w:rsidRPr="00163801">
        <w:rPr>
          <w:rFonts w:ascii="Arial" w:hAnsi="Arial" w:cs="Arial"/>
          <w:lang w:val="fr-CA"/>
        </w:rPr>
        <w:t>établissements d</w:t>
      </w:r>
      <w:r w:rsidR="00BE23F8" w:rsidRPr="00163801">
        <w:rPr>
          <w:rFonts w:ascii="Arial" w:hAnsi="Arial" w:cs="Arial"/>
          <w:lang w:val="fr-CA"/>
        </w:rPr>
        <w:t>’</w:t>
      </w:r>
      <w:r w:rsidRPr="00163801">
        <w:rPr>
          <w:rFonts w:ascii="Arial" w:hAnsi="Arial" w:cs="Arial"/>
          <w:lang w:val="fr-CA"/>
        </w:rPr>
        <w:t xml:space="preserve">enseignement postsecondaire. </w:t>
      </w:r>
      <w:r w:rsidR="004773F5" w:rsidRPr="00A849BB">
        <w:rPr>
          <w:rFonts w:ascii="Arial" w:hAnsi="Arial" w:cs="Arial"/>
          <w:lang w:val="fr-CA"/>
        </w:rPr>
        <w:t>La par</w:t>
      </w:r>
      <w:r w:rsidR="00396B60" w:rsidRPr="00A849BB">
        <w:rPr>
          <w:rFonts w:ascii="Arial" w:hAnsi="Arial" w:cs="Arial"/>
          <w:lang w:val="fr-CA"/>
        </w:rPr>
        <w:t>ticipation communautaire a lieu</w:t>
      </w:r>
      <w:r w:rsidR="004773F5" w:rsidRPr="00A849BB">
        <w:rPr>
          <w:rFonts w:ascii="Arial" w:hAnsi="Arial" w:cs="Arial"/>
          <w:lang w:val="fr-CA"/>
        </w:rPr>
        <w:t xml:space="preserve"> à</w:t>
      </w:r>
      <w:r w:rsidR="005A14D5">
        <w:rPr>
          <w:rFonts w:ascii="Arial" w:hAnsi="Arial" w:cs="Arial"/>
          <w:lang w:val="fr-CA"/>
        </w:rPr>
        <w:t> </w:t>
      </w:r>
      <w:r w:rsidR="004773F5" w:rsidRPr="00A849BB">
        <w:rPr>
          <w:rFonts w:ascii="Arial" w:hAnsi="Arial" w:cs="Arial"/>
          <w:lang w:val="fr-CA"/>
        </w:rPr>
        <w:t>l</w:t>
      </w:r>
      <w:r w:rsidR="00BE23F8" w:rsidRPr="00A849BB">
        <w:rPr>
          <w:rFonts w:ascii="Arial" w:hAnsi="Arial" w:cs="Arial"/>
          <w:lang w:val="fr-CA"/>
        </w:rPr>
        <w:t>’</w:t>
      </w:r>
      <w:r w:rsidR="004773F5" w:rsidRPr="00A849BB">
        <w:rPr>
          <w:rFonts w:ascii="Arial" w:hAnsi="Arial" w:cs="Arial"/>
          <w:lang w:val="fr-CA"/>
        </w:rPr>
        <w:t>école ou</w:t>
      </w:r>
      <w:r w:rsidR="00396B60" w:rsidRPr="00A849BB">
        <w:rPr>
          <w:rFonts w:ascii="Arial" w:hAnsi="Arial" w:cs="Arial"/>
          <w:lang w:val="fr-CA"/>
        </w:rPr>
        <w:t xml:space="preserve"> en dehors</w:t>
      </w:r>
      <w:r w:rsidR="004773F5" w:rsidRPr="00A849BB">
        <w:rPr>
          <w:rFonts w:ascii="Arial" w:hAnsi="Arial" w:cs="Arial"/>
          <w:lang w:val="fr-CA"/>
        </w:rPr>
        <w:t xml:space="preserve">. </w:t>
      </w:r>
      <w:r w:rsidR="001B70FE" w:rsidRPr="00C95BEF">
        <w:rPr>
          <w:rFonts w:ascii="Arial" w:hAnsi="Arial" w:cs="Arial"/>
          <w:lang w:val="fr-CA"/>
        </w:rPr>
        <w:t>Parfois</w:t>
      </w:r>
      <w:r w:rsidR="00396B60" w:rsidRPr="00C95BEF">
        <w:rPr>
          <w:rFonts w:ascii="Arial" w:hAnsi="Arial" w:cs="Arial"/>
          <w:lang w:val="fr-CA"/>
        </w:rPr>
        <w:t>,</w:t>
      </w:r>
      <w:r w:rsidR="00396B60" w:rsidRPr="00A849BB">
        <w:rPr>
          <w:rFonts w:ascii="Arial" w:hAnsi="Arial" w:cs="Arial"/>
          <w:lang w:val="fr-CA"/>
        </w:rPr>
        <w:t xml:space="preserve"> elle comporte</w:t>
      </w:r>
      <w:r w:rsidR="004773F5" w:rsidRPr="00A849BB">
        <w:rPr>
          <w:rFonts w:ascii="Arial" w:hAnsi="Arial" w:cs="Arial"/>
          <w:lang w:val="fr-CA"/>
        </w:rPr>
        <w:t xml:space="preserve"> une </w:t>
      </w:r>
      <w:r w:rsidR="00E73374">
        <w:rPr>
          <w:rFonts w:ascii="Arial" w:hAnsi="Arial" w:cs="Arial"/>
          <w:lang w:val="fr-CA"/>
        </w:rPr>
        <w:t xml:space="preserve">multitude de </w:t>
      </w:r>
      <w:r w:rsidR="004773F5" w:rsidRPr="00A849BB">
        <w:rPr>
          <w:rFonts w:ascii="Arial" w:hAnsi="Arial" w:cs="Arial"/>
          <w:lang w:val="fr-CA"/>
        </w:rPr>
        <w:t>perspective</w:t>
      </w:r>
      <w:r w:rsidR="00E73374">
        <w:rPr>
          <w:rFonts w:ascii="Arial" w:hAnsi="Arial" w:cs="Arial"/>
          <w:lang w:val="fr-CA"/>
        </w:rPr>
        <w:t>s</w:t>
      </w:r>
      <w:r w:rsidR="004773F5" w:rsidRPr="00A849BB">
        <w:rPr>
          <w:rFonts w:ascii="Arial" w:hAnsi="Arial" w:cs="Arial"/>
          <w:lang w:val="fr-CA"/>
        </w:rPr>
        <w:t>.</w:t>
      </w:r>
      <w:r w:rsidR="004773F5">
        <w:rPr>
          <w:rFonts w:ascii="Arial" w:hAnsi="Arial" w:cs="Arial"/>
          <w:lang w:val="fr-CA"/>
        </w:rPr>
        <w:t xml:space="preserve"> </w:t>
      </w:r>
    </w:p>
    <w:p w14:paraId="39C9AE69" w14:textId="77777777" w:rsidR="008B6D92" w:rsidRPr="00431BC3" w:rsidRDefault="008B6D92" w:rsidP="00F3114B">
      <w:pPr>
        <w:spacing w:after="0" w:line="240" w:lineRule="auto"/>
        <w:rPr>
          <w:rFonts w:ascii="Arial" w:hAnsi="Arial" w:cs="Arial"/>
          <w:lang w:val="fr-CA"/>
        </w:rPr>
      </w:pPr>
    </w:p>
    <w:p w14:paraId="0934C64B" w14:textId="599A2C90" w:rsidR="002C7C59" w:rsidRPr="00396B60" w:rsidRDefault="002C7C59" w:rsidP="00F3114B">
      <w:pPr>
        <w:spacing w:after="0" w:line="240" w:lineRule="auto"/>
        <w:rPr>
          <w:rFonts w:ascii="Arial" w:hAnsi="Arial" w:cs="Arial"/>
          <w:lang w:val="fr-CA"/>
        </w:rPr>
      </w:pPr>
      <w:r w:rsidRPr="00163801">
        <w:rPr>
          <w:rFonts w:ascii="Arial" w:hAnsi="Arial" w:cs="Arial"/>
          <w:lang w:val="fr-CA"/>
        </w:rPr>
        <w:t xml:space="preserve">Cette liste de vérification de la participation communautaire peut </w:t>
      </w:r>
      <w:r w:rsidR="00396B60" w:rsidRPr="00163801">
        <w:rPr>
          <w:rFonts w:ascii="Arial" w:hAnsi="Arial" w:cs="Arial"/>
          <w:lang w:val="fr-CA"/>
        </w:rPr>
        <w:t>être utilisée pour déterminer le niveau de</w:t>
      </w:r>
      <w:r w:rsidRPr="00163801">
        <w:rPr>
          <w:rFonts w:ascii="Arial" w:hAnsi="Arial" w:cs="Arial"/>
          <w:lang w:val="fr-CA"/>
        </w:rPr>
        <w:t xml:space="preserve"> préparation d</w:t>
      </w:r>
      <w:r w:rsidR="00BE23F8" w:rsidRPr="00163801">
        <w:rPr>
          <w:rFonts w:ascii="Arial" w:hAnsi="Arial" w:cs="Arial"/>
          <w:lang w:val="fr-CA"/>
        </w:rPr>
        <w:t>’</w:t>
      </w:r>
      <w:r w:rsidR="00396B60" w:rsidRPr="00163801">
        <w:rPr>
          <w:rFonts w:ascii="Arial" w:hAnsi="Arial" w:cs="Arial"/>
          <w:lang w:val="fr-CA"/>
        </w:rPr>
        <w:t>une école à</w:t>
      </w:r>
      <w:r w:rsidRPr="00163801">
        <w:rPr>
          <w:rFonts w:ascii="Arial" w:hAnsi="Arial" w:cs="Arial"/>
          <w:lang w:val="fr-CA"/>
        </w:rPr>
        <w:t xml:space="preserve"> faire participer la communauté </w:t>
      </w:r>
      <w:r w:rsidR="00501668" w:rsidRPr="00163801">
        <w:rPr>
          <w:rFonts w:ascii="Arial" w:hAnsi="Arial" w:cs="Arial"/>
          <w:lang w:val="fr-CA"/>
        </w:rPr>
        <w:t>aux</w:t>
      </w:r>
      <w:r w:rsidRPr="00163801">
        <w:rPr>
          <w:rFonts w:ascii="Arial" w:hAnsi="Arial" w:cs="Arial"/>
          <w:lang w:val="fr-CA"/>
        </w:rPr>
        <w:t xml:space="preserve"> expériences d</w:t>
      </w:r>
      <w:r w:rsidR="00BE23F8" w:rsidRPr="00163801">
        <w:rPr>
          <w:rFonts w:ascii="Arial" w:hAnsi="Arial" w:cs="Arial"/>
          <w:lang w:val="fr-CA"/>
        </w:rPr>
        <w:t>’</w:t>
      </w:r>
      <w:r w:rsidRPr="00163801">
        <w:rPr>
          <w:rFonts w:ascii="Arial" w:hAnsi="Arial" w:cs="Arial"/>
          <w:lang w:val="fr-CA"/>
        </w:rPr>
        <w:t>apprentissage des</w:t>
      </w:r>
      <w:r w:rsidR="005A14D5">
        <w:rPr>
          <w:rFonts w:ascii="Arial" w:hAnsi="Arial" w:cs="Arial"/>
          <w:lang w:val="fr-CA"/>
        </w:rPr>
        <w:t> </w:t>
      </w:r>
      <w:r w:rsidRPr="00163801">
        <w:rPr>
          <w:rFonts w:ascii="Arial" w:hAnsi="Arial" w:cs="Arial"/>
          <w:lang w:val="fr-CA"/>
        </w:rPr>
        <w:t xml:space="preserve">élèves. </w:t>
      </w:r>
      <w:r w:rsidR="00A25367" w:rsidRPr="00163801">
        <w:rPr>
          <w:rFonts w:ascii="Arial" w:hAnsi="Arial" w:cs="Arial"/>
          <w:lang w:val="fr-CA"/>
        </w:rPr>
        <w:t>U</w:t>
      </w:r>
      <w:r w:rsidR="00396B60" w:rsidRPr="00163801">
        <w:rPr>
          <w:rFonts w:ascii="Arial" w:hAnsi="Arial" w:cs="Arial"/>
          <w:lang w:val="fr-CA"/>
        </w:rPr>
        <w:t>tilisez les colonnes OUI et NON p</w:t>
      </w:r>
      <w:r w:rsidR="00A25367" w:rsidRPr="00163801">
        <w:rPr>
          <w:rFonts w:ascii="Arial" w:hAnsi="Arial" w:cs="Arial"/>
          <w:lang w:val="fr-CA"/>
        </w:rPr>
        <w:t>o</w:t>
      </w:r>
      <w:r w:rsidR="00396B60" w:rsidRPr="00163801">
        <w:rPr>
          <w:rFonts w:ascii="Arial" w:hAnsi="Arial" w:cs="Arial"/>
          <w:lang w:val="fr-CA"/>
        </w:rPr>
        <w:t>ur organis</w:t>
      </w:r>
      <w:r w:rsidR="00A25367" w:rsidRPr="00163801">
        <w:rPr>
          <w:rFonts w:ascii="Arial" w:hAnsi="Arial" w:cs="Arial"/>
          <w:lang w:val="fr-CA"/>
        </w:rPr>
        <w:t>e</w:t>
      </w:r>
      <w:r w:rsidR="00396B60" w:rsidRPr="00163801">
        <w:rPr>
          <w:rFonts w:ascii="Arial" w:hAnsi="Arial" w:cs="Arial"/>
          <w:lang w:val="fr-CA"/>
        </w:rPr>
        <w:t>r</w:t>
      </w:r>
      <w:r w:rsidR="00A25367" w:rsidRPr="00163801">
        <w:rPr>
          <w:rFonts w:ascii="Arial" w:hAnsi="Arial" w:cs="Arial"/>
          <w:lang w:val="fr-CA"/>
        </w:rPr>
        <w:t xml:space="preserve"> </w:t>
      </w:r>
      <w:r w:rsidR="00396B60" w:rsidRPr="00163801">
        <w:rPr>
          <w:rFonts w:ascii="Arial" w:hAnsi="Arial" w:cs="Arial"/>
          <w:lang w:val="fr-CA"/>
        </w:rPr>
        <w:t>l’</w:t>
      </w:r>
      <w:r w:rsidR="00A25367" w:rsidRPr="00163801">
        <w:rPr>
          <w:rFonts w:ascii="Arial" w:hAnsi="Arial" w:cs="Arial"/>
          <w:lang w:val="fr-CA"/>
        </w:rPr>
        <w:t>information</w:t>
      </w:r>
      <w:r w:rsidR="00396B60" w:rsidRPr="00163801">
        <w:rPr>
          <w:rFonts w:ascii="Arial" w:hAnsi="Arial" w:cs="Arial"/>
          <w:lang w:val="fr-CA"/>
        </w:rPr>
        <w:t xml:space="preserve"> correspondant aux questions sur</w:t>
      </w:r>
      <w:r w:rsidR="005A14D5">
        <w:rPr>
          <w:rFonts w:ascii="Arial" w:hAnsi="Arial" w:cs="Arial"/>
          <w:lang w:val="fr-CA"/>
        </w:rPr>
        <w:t> </w:t>
      </w:r>
      <w:r w:rsidR="00396B60" w:rsidRPr="00163801">
        <w:rPr>
          <w:rFonts w:ascii="Arial" w:hAnsi="Arial" w:cs="Arial"/>
          <w:lang w:val="fr-CA"/>
        </w:rPr>
        <w:t>la mobilisation de la communau</w:t>
      </w:r>
      <w:r w:rsidR="00A25367" w:rsidRPr="00163801">
        <w:rPr>
          <w:rFonts w:ascii="Arial" w:hAnsi="Arial" w:cs="Arial"/>
          <w:lang w:val="fr-CA"/>
        </w:rPr>
        <w:t>t</w:t>
      </w:r>
      <w:r w:rsidR="00396B60" w:rsidRPr="00163801">
        <w:rPr>
          <w:rFonts w:ascii="Arial" w:hAnsi="Arial" w:cs="Arial"/>
          <w:lang w:val="fr-CA"/>
        </w:rPr>
        <w:t>é</w:t>
      </w:r>
      <w:r w:rsidR="00A25367" w:rsidRPr="00163801">
        <w:rPr>
          <w:rFonts w:ascii="Arial" w:hAnsi="Arial" w:cs="Arial"/>
          <w:lang w:val="fr-CA"/>
        </w:rPr>
        <w:t>.</w:t>
      </w:r>
    </w:p>
    <w:p w14:paraId="48A7DE0C" w14:textId="55DF84CE" w:rsidR="00015799" w:rsidRPr="005A14D5" w:rsidRDefault="002166F2" w:rsidP="00F3114B">
      <w:pPr>
        <w:spacing w:after="0" w:line="240" w:lineRule="auto"/>
        <w:rPr>
          <w:rFonts w:ascii="Arial" w:hAnsi="Arial" w:cs="Arial"/>
          <w:lang w:val="fr-CA"/>
        </w:rPr>
      </w:pPr>
      <w:r>
        <w:rPr>
          <w:noProof/>
          <w:lang w:eastAsia="en-CA"/>
        </w:rPr>
        <w:drawing>
          <wp:anchor distT="0" distB="0" distL="114300" distR="114300" simplePos="0" relativeHeight="251662336" behindDoc="0" locked="0" layoutInCell="1" allowOverlap="1" wp14:anchorId="7B29A9E2" wp14:editId="05ECD458">
            <wp:simplePos x="0" y="0"/>
            <wp:positionH relativeFrom="column">
              <wp:posOffset>2438902</wp:posOffset>
            </wp:positionH>
            <wp:positionV relativeFrom="paragraph">
              <wp:posOffset>5850255</wp:posOffset>
            </wp:positionV>
            <wp:extent cx="1209675" cy="318267"/>
            <wp:effectExtent l="0" t="0" r="0" b="5715"/>
            <wp:wrapNone/>
            <wp:docPr id="6" name="Picture 6" descr="N:\EPSA - PROGRAMS OF STUDY AND RESOURCES SECTOR\Citizenship and Career Pathways\CTF\Communications\CTF Graphics\ctf logo &amp; banner\ctf_kids_banner_opaqu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PSA - PROGRAMS OF STUDY AND RESOURCES SECTOR\Citizenship and Career Pathways\CTF\Communications\CTF Graphics\ctf logo &amp; banner\ctf_kids_banner_opaque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31826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90" w:type="dxa"/>
        <w:tblInd w:w="-5" w:type="dxa"/>
        <w:tblLayout w:type="fixed"/>
        <w:tblLook w:val="04A0" w:firstRow="1" w:lastRow="0" w:firstColumn="1" w:lastColumn="0" w:noHBand="0" w:noVBand="1"/>
      </w:tblPr>
      <w:tblGrid>
        <w:gridCol w:w="3420"/>
        <w:gridCol w:w="3014"/>
        <w:gridCol w:w="3556"/>
      </w:tblGrid>
      <w:tr w:rsidR="0085087A" w:rsidRPr="005C3204" w14:paraId="779056EB" w14:textId="77777777" w:rsidTr="002166F2">
        <w:tc>
          <w:tcPr>
            <w:tcW w:w="3420" w:type="dxa"/>
            <w:shd w:val="clear" w:color="auto" w:fill="1F497D"/>
            <w:vAlign w:val="center"/>
          </w:tcPr>
          <w:p w14:paraId="6AFE520A" w14:textId="77777777" w:rsidR="0085087A" w:rsidRPr="005A14D5" w:rsidRDefault="0085087A" w:rsidP="00A25367">
            <w:pPr>
              <w:rPr>
                <w:rFonts w:cs="Arial"/>
                <w:b/>
                <w:color w:val="FFFFFF" w:themeColor="background1"/>
              </w:rPr>
            </w:pPr>
            <w:r w:rsidRPr="005A14D5">
              <w:rPr>
                <w:rFonts w:cs="Arial"/>
                <w:b/>
                <w:bCs/>
                <w:color w:val="FFFFFF" w:themeColor="background1"/>
                <w:lang w:val="fr-CA"/>
              </w:rPr>
              <w:t>Participation communautaire</w:t>
            </w:r>
          </w:p>
        </w:tc>
        <w:tc>
          <w:tcPr>
            <w:tcW w:w="3014" w:type="dxa"/>
            <w:shd w:val="clear" w:color="auto" w:fill="1F497D"/>
          </w:tcPr>
          <w:p w14:paraId="399E481D" w14:textId="77777777" w:rsidR="0085087A" w:rsidRPr="005A14D5" w:rsidRDefault="0085087A" w:rsidP="00015799">
            <w:pPr>
              <w:jc w:val="center"/>
              <w:rPr>
                <w:rFonts w:cs="Arial"/>
                <w:b/>
                <w:bCs/>
                <w:color w:val="FFFFFF" w:themeColor="background1"/>
                <w:lang w:val="fr-CA"/>
              </w:rPr>
            </w:pPr>
            <w:r w:rsidRPr="005A14D5">
              <w:rPr>
                <w:rFonts w:cs="Arial"/>
                <w:b/>
                <w:bCs/>
                <w:color w:val="FFFFFF" w:themeColor="background1"/>
                <w:lang w:val="fr-CA"/>
              </w:rPr>
              <w:t>OUI</w:t>
            </w:r>
          </w:p>
          <w:p w14:paraId="08414B64" w14:textId="77777777" w:rsidR="0085087A" w:rsidRPr="00A25367" w:rsidRDefault="00433B6C" w:rsidP="00015799">
            <w:pPr>
              <w:jc w:val="center"/>
              <w:rPr>
                <w:rFonts w:ascii="Arial" w:hAnsi="Arial" w:cs="Arial"/>
                <w:b/>
                <w:color w:val="FFFFFF" w:themeColor="background1"/>
              </w:rPr>
            </w:pPr>
            <w:r w:rsidRPr="005A14D5">
              <w:rPr>
                <w:rFonts w:cs="Arial"/>
                <w:b/>
                <w:bCs/>
                <w:color w:val="FFFFFF" w:themeColor="background1"/>
                <w:lang w:val="fr-CA"/>
              </w:rPr>
              <w:t>Indic</w:t>
            </w:r>
            <w:r w:rsidR="0085087A" w:rsidRPr="005A14D5">
              <w:rPr>
                <w:rFonts w:cs="Arial"/>
                <w:b/>
                <w:bCs/>
                <w:color w:val="FFFFFF" w:themeColor="background1"/>
                <w:lang w:val="fr-CA"/>
              </w:rPr>
              <w:t>es ou réussites</w:t>
            </w:r>
          </w:p>
        </w:tc>
        <w:tc>
          <w:tcPr>
            <w:tcW w:w="3556" w:type="dxa"/>
            <w:shd w:val="clear" w:color="auto" w:fill="1F497D"/>
          </w:tcPr>
          <w:p w14:paraId="4BF60069" w14:textId="77777777" w:rsidR="0085087A" w:rsidRPr="005A14D5" w:rsidRDefault="0085087A" w:rsidP="00015799">
            <w:pPr>
              <w:jc w:val="center"/>
              <w:rPr>
                <w:rFonts w:cs="Arial"/>
                <w:b/>
                <w:bCs/>
                <w:color w:val="FFFFFF" w:themeColor="background1"/>
                <w:lang w:val="fr-CA"/>
              </w:rPr>
            </w:pPr>
            <w:r w:rsidRPr="005A14D5">
              <w:rPr>
                <w:rFonts w:cs="Arial"/>
                <w:b/>
                <w:bCs/>
                <w:color w:val="FFFFFF" w:themeColor="background1"/>
                <w:lang w:val="fr-CA"/>
              </w:rPr>
              <w:t>NON</w:t>
            </w:r>
          </w:p>
          <w:p w14:paraId="377AA81E" w14:textId="77777777" w:rsidR="0085087A" w:rsidRPr="00A25367" w:rsidRDefault="0085087A" w:rsidP="00015799">
            <w:pPr>
              <w:jc w:val="center"/>
              <w:rPr>
                <w:rFonts w:ascii="Arial" w:hAnsi="Arial" w:cs="Arial"/>
                <w:b/>
                <w:color w:val="FFFFFF" w:themeColor="background1"/>
                <w:lang w:val="fr-CA"/>
              </w:rPr>
            </w:pPr>
            <w:r w:rsidRPr="005A14D5">
              <w:rPr>
                <w:rFonts w:cs="Arial"/>
                <w:b/>
                <w:bCs/>
                <w:color w:val="FFFFFF" w:themeColor="background1"/>
                <w:lang w:val="fr-CA"/>
              </w:rPr>
              <w:t>Travail requis ou défis</w:t>
            </w:r>
          </w:p>
        </w:tc>
      </w:tr>
      <w:tr w:rsidR="0085087A" w:rsidRPr="005C3204" w14:paraId="0C3A686D" w14:textId="77777777" w:rsidTr="002166F2">
        <w:tc>
          <w:tcPr>
            <w:tcW w:w="3420" w:type="dxa"/>
            <w:shd w:val="clear" w:color="auto" w:fill="C6D9F1"/>
          </w:tcPr>
          <w:p w14:paraId="77637545" w14:textId="3DA7B029" w:rsidR="0085087A" w:rsidRPr="002166F2" w:rsidRDefault="00433B6C" w:rsidP="00EA5D24">
            <w:pPr>
              <w:rPr>
                <w:rFonts w:cs="Arial"/>
                <w:lang w:val="fr-CA"/>
              </w:rPr>
            </w:pPr>
            <w:r w:rsidRPr="002166F2">
              <w:rPr>
                <w:rFonts w:cs="Arial"/>
                <w:lang w:val="fr-CA"/>
              </w:rPr>
              <w:t xml:space="preserve">1. </w:t>
            </w:r>
            <w:r w:rsidR="004B008D" w:rsidRPr="00AC7DC9">
              <w:rPr>
                <w:rFonts w:cs="Arial"/>
                <w:lang w:val="fr-CA"/>
              </w:rPr>
              <w:t>De l’information au sujet des FCT a-t-elle été communiquée aux membres de la communauté scolaire?</w:t>
            </w:r>
          </w:p>
        </w:tc>
        <w:tc>
          <w:tcPr>
            <w:tcW w:w="3014" w:type="dxa"/>
          </w:tcPr>
          <w:p w14:paraId="3D96DAAB" w14:textId="77777777" w:rsidR="0085087A" w:rsidRPr="00A25367" w:rsidRDefault="0085087A" w:rsidP="00F3114B">
            <w:pPr>
              <w:rPr>
                <w:rFonts w:ascii="Arial" w:hAnsi="Arial" w:cs="Arial"/>
                <w:lang w:val="fr-CA"/>
              </w:rPr>
            </w:pPr>
          </w:p>
        </w:tc>
        <w:tc>
          <w:tcPr>
            <w:tcW w:w="3556" w:type="dxa"/>
          </w:tcPr>
          <w:p w14:paraId="5F4F9CAC" w14:textId="77777777" w:rsidR="0085087A" w:rsidRPr="00A25367" w:rsidRDefault="0085087A" w:rsidP="00F3114B">
            <w:pPr>
              <w:rPr>
                <w:rFonts w:ascii="Arial" w:hAnsi="Arial" w:cs="Arial"/>
                <w:lang w:val="fr-CA"/>
              </w:rPr>
            </w:pPr>
          </w:p>
        </w:tc>
      </w:tr>
      <w:tr w:rsidR="0085087A" w:rsidRPr="005C3204" w14:paraId="421D7ED5" w14:textId="77777777" w:rsidTr="002166F2">
        <w:tc>
          <w:tcPr>
            <w:tcW w:w="3420" w:type="dxa"/>
            <w:shd w:val="clear" w:color="auto" w:fill="C6D9F1"/>
          </w:tcPr>
          <w:p w14:paraId="37C4CD54" w14:textId="340BAE37" w:rsidR="0085087A" w:rsidRPr="002166F2" w:rsidRDefault="00433B6C" w:rsidP="00EA5D24">
            <w:pPr>
              <w:rPr>
                <w:rFonts w:cs="Arial"/>
                <w:lang w:val="fr-CA"/>
              </w:rPr>
            </w:pPr>
            <w:r w:rsidRPr="002166F2">
              <w:rPr>
                <w:rFonts w:cs="Arial"/>
                <w:lang w:val="fr-CA"/>
              </w:rPr>
              <w:t>2. De l</w:t>
            </w:r>
            <w:r w:rsidR="0085087A" w:rsidRPr="002166F2">
              <w:rPr>
                <w:rFonts w:cs="Arial"/>
                <w:lang w:val="fr-CA"/>
              </w:rPr>
              <w:t>’i</w:t>
            </w:r>
            <w:r w:rsidRPr="002166F2">
              <w:rPr>
                <w:rFonts w:cs="Arial"/>
                <w:lang w:val="fr-CA"/>
              </w:rPr>
              <w:t>nformation au sujet des</w:t>
            </w:r>
            <w:r w:rsidR="002166F2">
              <w:rPr>
                <w:rFonts w:cs="Arial"/>
                <w:lang w:val="fr-CA"/>
              </w:rPr>
              <w:t> </w:t>
            </w:r>
            <w:r w:rsidRPr="002166F2">
              <w:rPr>
                <w:rFonts w:cs="Arial"/>
                <w:lang w:val="fr-CA"/>
              </w:rPr>
              <w:t>FCT a</w:t>
            </w:r>
            <w:r w:rsidR="005A14D5" w:rsidRPr="002166F2">
              <w:rPr>
                <w:rFonts w:cs="Arial"/>
                <w:lang w:val="fr-CA"/>
              </w:rPr>
              <w:noBreakHyphen/>
            </w:r>
            <w:r w:rsidRPr="002166F2">
              <w:rPr>
                <w:rFonts w:cs="Arial"/>
                <w:lang w:val="fr-CA"/>
              </w:rPr>
              <w:t>t-</w:t>
            </w:r>
            <w:r w:rsidR="0085087A" w:rsidRPr="002166F2">
              <w:rPr>
                <w:rFonts w:cs="Arial"/>
                <w:lang w:val="fr-CA"/>
              </w:rPr>
              <w:t>elle été communiqué</w:t>
            </w:r>
            <w:r w:rsidRPr="002166F2">
              <w:rPr>
                <w:rFonts w:cs="Arial"/>
                <w:lang w:val="fr-CA"/>
              </w:rPr>
              <w:t>e à</w:t>
            </w:r>
            <w:r w:rsidR="002166F2">
              <w:rPr>
                <w:rFonts w:cs="Arial"/>
                <w:lang w:val="fr-CA"/>
              </w:rPr>
              <w:t> </w:t>
            </w:r>
            <w:r w:rsidRPr="002166F2">
              <w:rPr>
                <w:rFonts w:cs="Arial"/>
                <w:lang w:val="fr-CA"/>
              </w:rPr>
              <w:t>l’ensemble de la communauté?</w:t>
            </w:r>
            <w:r w:rsidR="0085087A" w:rsidRPr="002166F2">
              <w:rPr>
                <w:rFonts w:cs="Arial"/>
                <w:lang w:val="fr-CA"/>
              </w:rPr>
              <w:t xml:space="preserve"> </w:t>
            </w:r>
          </w:p>
        </w:tc>
        <w:tc>
          <w:tcPr>
            <w:tcW w:w="3014" w:type="dxa"/>
          </w:tcPr>
          <w:p w14:paraId="1405DE0B" w14:textId="77777777" w:rsidR="0085087A" w:rsidRPr="0085087A" w:rsidRDefault="0085087A" w:rsidP="00F3114B">
            <w:pPr>
              <w:rPr>
                <w:rFonts w:ascii="Arial" w:hAnsi="Arial" w:cs="Arial"/>
                <w:lang w:val="fr-CA"/>
              </w:rPr>
            </w:pPr>
          </w:p>
        </w:tc>
        <w:tc>
          <w:tcPr>
            <w:tcW w:w="3556" w:type="dxa"/>
          </w:tcPr>
          <w:p w14:paraId="40240D42" w14:textId="77777777" w:rsidR="0085087A" w:rsidRPr="0085087A" w:rsidRDefault="0085087A" w:rsidP="00F3114B">
            <w:pPr>
              <w:rPr>
                <w:rFonts w:ascii="Arial" w:hAnsi="Arial" w:cs="Arial"/>
                <w:lang w:val="fr-CA"/>
              </w:rPr>
            </w:pPr>
          </w:p>
        </w:tc>
      </w:tr>
      <w:tr w:rsidR="0085087A" w:rsidRPr="005C3204" w14:paraId="150A7647" w14:textId="77777777" w:rsidTr="002166F2">
        <w:tc>
          <w:tcPr>
            <w:tcW w:w="3420" w:type="dxa"/>
            <w:shd w:val="clear" w:color="auto" w:fill="C6D9F1"/>
          </w:tcPr>
          <w:p w14:paraId="009793C4" w14:textId="7B38E933" w:rsidR="0085087A" w:rsidRPr="002166F2" w:rsidRDefault="00243F9E" w:rsidP="005A14D5">
            <w:pPr>
              <w:rPr>
                <w:rFonts w:cs="Arial"/>
                <w:lang w:val="fr-CA"/>
              </w:rPr>
            </w:pPr>
            <w:r w:rsidRPr="002166F2">
              <w:rPr>
                <w:rFonts w:cs="Arial"/>
                <w:color w:val="000000"/>
                <w:lang w:val="fr-CA"/>
              </w:rPr>
              <w:t xml:space="preserve">3. </w:t>
            </w:r>
            <w:r w:rsidR="004B008D" w:rsidRPr="00AC7DC9">
              <w:rPr>
                <w:rFonts w:eastAsia="Arial" w:cs="Arial"/>
                <w:color w:val="000000"/>
                <w:lang w:val="fr-CA"/>
              </w:rPr>
              <w:t>La planification des FCT tient-elle compte des possibilités de participation communautaire?</w:t>
            </w:r>
          </w:p>
        </w:tc>
        <w:tc>
          <w:tcPr>
            <w:tcW w:w="3014" w:type="dxa"/>
          </w:tcPr>
          <w:p w14:paraId="520C6646" w14:textId="77777777" w:rsidR="0085087A" w:rsidRPr="0085087A" w:rsidRDefault="0085087A" w:rsidP="00F3114B">
            <w:pPr>
              <w:rPr>
                <w:rFonts w:ascii="Arial" w:hAnsi="Arial" w:cs="Arial"/>
                <w:lang w:val="fr-CA"/>
              </w:rPr>
            </w:pPr>
          </w:p>
        </w:tc>
        <w:tc>
          <w:tcPr>
            <w:tcW w:w="3556" w:type="dxa"/>
          </w:tcPr>
          <w:p w14:paraId="40BC5B61" w14:textId="77777777" w:rsidR="0085087A" w:rsidRPr="0085087A" w:rsidRDefault="0085087A" w:rsidP="00F3114B">
            <w:pPr>
              <w:rPr>
                <w:rFonts w:ascii="Arial" w:hAnsi="Arial" w:cs="Arial"/>
                <w:lang w:val="fr-CA"/>
              </w:rPr>
            </w:pPr>
          </w:p>
        </w:tc>
      </w:tr>
      <w:tr w:rsidR="0085087A" w:rsidRPr="005C3204" w14:paraId="217099B1" w14:textId="77777777" w:rsidTr="002166F2">
        <w:tc>
          <w:tcPr>
            <w:tcW w:w="3420" w:type="dxa"/>
            <w:shd w:val="clear" w:color="auto" w:fill="C6D9F1"/>
          </w:tcPr>
          <w:p w14:paraId="4D6833B2" w14:textId="74B868BB" w:rsidR="0085087A" w:rsidRPr="002166F2" w:rsidRDefault="00243F9E" w:rsidP="00B4485E">
            <w:pPr>
              <w:rPr>
                <w:rFonts w:eastAsia="Arial" w:cs="Arial"/>
                <w:color w:val="000000"/>
                <w:spacing w:val="6"/>
                <w:lang w:val="fr-CA"/>
              </w:rPr>
            </w:pPr>
            <w:r w:rsidRPr="002166F2">
              <w:rPr>
                <w:rFonts w:eastAsia="Arial" w:cs="Arial"/>
                <w:color w:val="000000"/>
                <w:lang w:val="fr-CA"/>
              </w:rPr>
              <w:t xml:space="preserve">4. </w:t>
            </w:r>
            <w:r w:rsidR="004B008D" w:rsidRPr="00AC7DC9">
              <w:rPr>
                <w:rFonts w:eastAsia="Arial" w:cs="Arial"/>
                <w:color w:val="000000"/>
                <w:lang w:val="fr-CA"/>
              </w:rPr>
              <w:t xml:space="preserve">La possibilité de faire vivre aux élèves des expériences </w:t>
            </w:r>
            <w:r w:rsidR="004B008D" w:rsidRPr="00AC7DC9">
              <w:rPr>
                <w:rFonts w:cs="Arial"/>
                <w:color w:val="000000"/>
                <w:lang w:val="fr-CA"/>
              </w:rPr>
              <w:t>hors- établissement authentiques et signifiantes en mobilisant ressources, personnes et groupes a-t-elle ét</w:t>
            </w:r>
            <w:r w:rsidR="004B008D" w:rsidRPr="00AC7DC9">
              <w:rPr>
                <w:rFonts w:cs="Arial"/>
                <w:color w:val="000000"/>
                <w:lang w:val="fr-CA" w:eastAsia="ja-JP"/>
              </w:rPr>
              <w:t>é considérée?</w:t>
            </w:r>
          </w:p>
        </w:tc>
        <w:tc>
          <w:tcPr>
            <w:tcW w:w="3014" w:type="dxa"/>
          </w:tcPr>
          <w:p w14:paraId="31940C75" w14:textId="77777777" w:rsidR="0085087A" w:rsidRPr="0085087A" w:rsidRDefault="0085087A" w:rsidP="00F3114B">
            <w:pPr>
              <w:rPr>
                <w:rFonts w:ascii="Arial" w:hAnsi="Arial" w:cs="Arial"/>
                <w:lang w:val="fr-CA"/>
              </w:rPr>
            </w:pPr>
          </w:p>
        </w:tc>
        <w:tc>
          <w:tcPr>
            <w:tcW w:w="3556" w:type="dxa"/>
          </w:tcPr>
          <w:p w14:paraId="17AEA159" w14:textId="77777777" w:rsidR="0085087A" w:rsidRPr="0085087A" w:rsidRDefault="0085087A" w:rsidP="00F3114B">
            <w:pPr>
              <w:rPr>
                <w:rFonts w:ascii="Arial" w:hAnsi="Arial" w:cs="Arial"/>
                <w:lang w:val="fr-CA"/>
              </w:rPr>
            </w:pPr>
          </w:p>
        </w:tc>
      </w:tr>
      <w:tr w:rsidR="0085087A" w:rsidRPr="005C3204" w14:paraId="6326878D" w14:textId="77777777" w:rsidTr="002166F2">
        <w:tc>
          <w:tcPr>
            <w:tcW w:w="3420" w:type="dxa"/>
            <w:shd w:val="clear" w:color="auto" w:fill="C6D9F1"/>
          </w:tcPr>
          <w:p w14:paraId="77C4E447" w14:textId="63892821" w:rsidR="0085087A" w:rsidRPr="002166F2" w:rsidRDefault="00243F9E" w:rsidP="002166F2">
            <w:pPr>
              <w:autoSpaceDE w:val="0"/>
              <w:autoSpaceDN w:val="0"/>
              <w:adjustRightInd w:val="0"/>
              <w:rPr>
                <w:rFonts w:cs="Arial"/>
                <w:lang w:val="fr-CA"/>
              </w:rPr>
            </w:pPr>
            <w:r w:rsidRPr="002166F2">
              <w:rPr>
                <w:rFonts w:cs="Arial"/>
                <w:color w:val="000000"/>
                <w:lang w:val="fr-CA"/>
              </w:rPr>
              <w:t xml:space="preserve">5. </w:t>
            </w:r>
            <w:r w:rsidR="004B008D" w:rsidRPr="00AC7DC9">
              <w:rPr>
                <w:rFonts w:cs="Arial"/>
                <w:color w:val="000000"/>
                <w:lang w:val="fr-CA"/>
              </w:rPr>
              <w:t>La possibilité de développer des partenariats qui appuient les FCT a-t-elle été considérée?</w:t>
            </w:r>
          </w:p>
        </w:tc>
        <w:tc>
          <w:tcPr>
            <w:tcW w:w="3014" w:type="dxa"/>
          </w:tcPr>
          <w:p w14:paraId="577674D9" w14:textId="77777777" w:rsidR="0085087A" w:rsidRPr="0085087A" w:rsidRDefault="0085087A" w:rsidP="00F3114B">
            <w:pPr>
              <w:rPr>
                <w:rFonts w:ascii="Arial" w:hAnsi="Arial" w:cs="Arial"/>
                <w:lang w:val="fr-CA"/>
              </w:rPr>
            </w:pPr>
          </w:p>
        </w:tc>
        <w:tc>
          <w:tcPr>
            <w:tcW w:w="3556" w:type="dxa"/>
          </w:tcPr>
          <w:p w14:paraId="766D88D0" w14:textId="77777777" w:rsidR="0085087A" w:rsidRPr="0085087A" w:rsidRDefault="0085087A" w:rsidP="00F3114B">
            <w:pPr>
              <w:rPr>
                <w:rFonts w:ascii="Arial" w:hAnsi="Arial" w:cs="Arial"/>
                <w:lang w:val="fr-CA"/>
              </w:rPr>
            </w:pPr>
          </w:p>
        </w:tc>
      </w:tr>
    </w:tbl>
    <w:p w14:paraId="49445D36" w14:textId="2C24AD7F" w:rsidR="001676FE" w:rsidRDefault="001676FE" w:rsidP="00A25367">
      <w:pPr>
        <w:spacing w:after="0" w:line="240" w:lineRule="auto"/>
        <w:jc w:val="both"/>
        <w:rPr>
          <w:lang w:val="fr-CA"/>
        </w:rPr>
      </w:pPr>
    </w:p>
    <w:p w14:paraId="1AB47170" w14:textId="77777777" w:rsidR="0011259B" w:rsidRDefault="0011259B" w:rsidP="00A25367">
      <w:pPr>
        <w:spacing w:after="0" w:line="240" w:lineRule="auto"/>
        <w:jc w:val="both"/>
        <w:rPr>
          <w:lang w:val="fr-CA"/>
        </w:rPr>
      </w:pPr>
    </w:p>
    <w:p w14:paraId="17708D49" w14:textId="77777777" w:rsidR="0011259B" w:rsidRDefault="0011259B" w:rsidP="00A25367">
      <w:pPr>
        <w:spacing w:after="0" w:line="240" w:lineRule="auto"/>
        <w:jc w:val="both"/>
        <w:rPr>
          <w:lang w:val="fr-CA"/>
        </w:rPr>
      </w:pPr>
    </w:p>
    <w:p w14:paraId="53E8FAD1" w14:textId="77777777" w:rsidR="0011259B" w:rsidRDefault="0011259B" w:rsidP="00A25367">
      <w:pPr>
        <w:spacing w:after="0" w:line="240" w:lineRule="auto"/>
        <w:jc w:val="both"/>
        <w:rPr>
          <w:lang w:val="fr-CA"/>
        </w:rPr>
      </w:pPr>
    </w:p>
    <w:p w14:paraId="2BEB00D7" w14:textId="77777777" w:rsidR="0011259B" w:rsidRDefault="0011259B" w:rsidP="00A25367">
      <w:pPr>
        <w:spacing w:after="0" w:line="240" w:lineRule="auto"/>
        <w:jc w:val="both"/>
        <w:rPr>
          <w:lang w:val="fr-CA"/>
        </w:rPr>
      </w:pPr>
    </w:p>
    <w:p w14:paraId="718BF492" w14:textId="77777777" w:rsidR="0011259B" w:rsidRDefault="0011259B" w:rsidP="00A25367">
      <w:pPr>
        <w:spacing w:after="0" w:line="240" w:lineRule="auto"/>
        <w:jc w:val="both"/>
        <w:rPr>
          <w:lang w:val="fr-CA"/>
        </w:rPr>
      </w:pPr>
    </w:p>
    <w:p w14:paraId="21327549" w14:textId="77777777" w:rsidR="0011259B" w:rsidRDefault="0011259B" w:rsidP="00A25367">
      <w:pPr>
        <w:spacing w:after="0" w:line="240" w:lineRule="auto"/>
        <w:jc w:val="both"/>
        <w:rPr>
          <w:lang w:val="fr-CA"/>
        </w:rPr>
      </w:pPr>
    </w:p>
    <w:p w14:paraId="27CA28E5" w14:textId="77777777" w:rsidR="0011259B" w:rsidRDefault="0011259B" w:rsidP="00A25367">
      <w:pPr>
        <w:spacing w:after="0" w:line="240" w:lineRule="auto"/>
        <w:jc w:val="both"/>
        <w:rPr>
          <w:lang w:val="fr-CA"/>
        </w:rPr>
      </w:pPr>
    </w:p>
    <w:p w14:paraId="118F9596" w14:textId="77777777" w:rsidR="0011259B" w:rsidRDefault="0011259B" w:rsidP="00A25367">
      <w:pPr>
        <w:spacing w:after="0" w:line="240" w:lineRule="auto"/>
        <w:jc w:val="both"/>
        <w:rPr>
          <w:lang w:val="fr-CA"/>
        </w:rPr>
      </w:pPr>
    </w:p>
    <w:p w14:paraId="4C6A5E67" w14:textId="77777777" w:rsidR="0011259B" w:rsidRDefault="0011259B" w:rsidP="00A25367">
      <w:pPr>
        <w:spacing w:after="0" w:line="240" w:lineRule="auto"/>
        <w:jc w:val="both"/>
        <w:rPr>
          <w:lang w:val="fr-CA"/>
        </w:rPr>
      </w:pPr>
    </w:p>
    <w:p w14:paraId="27B47720" w14:textId="77777777" w:rsidR="0011259B" w:rsidRDefault="0011259B" w:rsidP="00A25367">
      <w:pPr>
        <w:spacing w:after="0" w:line="240" w:lineRule="auto"/>
        <w:jc w:val="both"/>
        <w:rPr>
          <w:lang w:val="fr-CA"/>
        </w:rPr>
      </w:pPr>
    </w:p>
    <w:p w14:paraId="2317603C" w14:textId="77777777" w:rsidR="0011259B" w:rsidRDefault="0011259B" w:rsidP="0011259B">
      <w:pPr>
        <w:spacing w:after="0" w:line="240" w:lineRule="auto"/>
        <w:rPr>
          <w:lang w:val="fr-CA"/>
        </w:rPr>
      </w:pPr>
    </w:p>
    <w:p w14:paraId="3C8A4A71" w14:textId="77777777" w:rsidR="0011259B" w:rsidRPr="005A14D5" w:rsidRDefault="0011259B" w:rsidP="0011259B">
      <w:pPr>
        <w:spacing w:after="0" w:line="240" w:lineRule="auto"/>
        <w:rPr>
          <w:rFonts w:ascii="Arial" w:hAnsi="Arial" w:cs="Arial"/>
          <w:lang w:val="fr-CA"/>
        </w:rPr>
      </w:pPr>
      <w:r>
        <w:rPr>
          <w:noProof/>
          <w:lang w:eastAsia="en-CA"/>
        </w:rPr>
        <w:drawing>
          <wp:anchor distT="0" distB="0" distL="114300" distR="114300" simplePos="0" relativeHeight="251664384" behindDoc="0" locked="0" layoutInCell="1" allowOverlap="1" wp14:anchorId="73D33437" wp14:editId="088727CE">
            <wp:simplePos x="0" y="0"/>
            <wp:positionH relativeFrom="column">
              <wp:posOffset>2438400</wp:posOffset>
            </wp:positionH>
            <wp:positionV relativeFrom="paragraph">
              <wp:posOffset>6031230</wp:posOffset>
            </wp:positionV>
            <wp:extent cx="1209675" cy="318135"/>
            <wp:effectExtent l="0" t="0" r="9525" b="5715"/>
            <wp:wrapNone/>
            <wp:docPr id="1" name="Picture 1" descr="N:\EPSA - PROGRAMS OF STUDY AND RESOURCES SECTOR\Citizenship and Career Pathways\CTF\Communications\CTF Graphics\ctf logo &amp; banner\ctf_kids_banner_opaqu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PSA - PROGRAMS OF STUDY AND RESOURCES SECTOR\Citizenship and Career Pathways\CTF\Communications\CTF Graphics\ctf logo &amp; banner\ctf_kids_banner_opaque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3181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720" w:type="dxa"/>
        <w:tblInd w:w="-5" w:type="dxa"/>
        <w:tblLayout w:type="fixed"/>
        <w:tblLook w:val="04A0" w:firstRow="1" w:lastRow="0" w:firstColumn="1" w:lastColumn="0" w:noHBand="0" w:noVBand="1"/>
      </w:tblPr>
      <w:tblGrid>
        <w:gridCol w:w="3420"/>
        <w:gridCol w:w="6300"/>
      </w:tblGrid>
      <w:tr w:rsidR="0011259B" w:rsidRPr="00AC7DC9" w14:paraId="39F4C6D6" w14:textId="77777777" w:rsidTr="00244057">
        <w:tc>
          <w:tcPr>
            <w:tcW w:w="9720" w:type="dxa"/>
            <w:gridSpan w:val="2"/>
            <w:shd w:val="clear" w:color="auto" w:fill="1F497D"/>
            <w:vAlign w:val="center"/>
          </w:tcPr>
          <w:p w14:paraId="2056B89B" w14:textId="77777777" w:rsidR="0011259B" w:rsidRPr="00AC7DC9" w:rsidRDefault="0011259B" w:rsidP="00244057">
            <w:pPr>
              <w:jc w:val="center"/>
              <w:rPr>
                <w:rFonts w:ascii="Arial" w:hAnsi="Arial" w:cs="Arial"/>
                <w:b/>
                <w:color w:val="FFFFFF" w:themeColor="background1"/>
                <w:lang w:val="fr-CA"/>
              </w:rPr>
            </w:pPr>
            <w:r w:rsidRPr="00AC7DC9">
              <w:rPr>
                <w:rFonts w:cs="Arial"/>
                <w:b/>
                <w:bCs/>
                <w:color w:val="FFFFFF" w:themeColor="background1"/>
                <w:lang w:val="fr-CA"/>
              </w:rPr>
              <w:lastRenderedPageBreak/>
              <w:t xml:space="preserve">Participation de la communauté </w:t>
            </w:r>
          </w:p>
        </w:tc>
      </w:tr>
      <w:tr w:rsidR="0011259B" w:rsidRPr="005C3204" w14:paraId="51518370" w14:textId="77777777" w:rsidTr="00244057">
        <w:tc>
          <w:tcPr>
            <w:tcW w:w="3420" w:type="dxa"/>
            <w:shd w:val="clear" w:color="auto" w:fill="C6D9F1"/>
          </w:tcPr>
          <w:p w14:paraId="7E7CBFE1" w14:textId="77777777" w:rsidR="0011259B" w:rsidRPr="00AC7DC9" w:rsidRDefault="0011259B" w:rsidP="00244057">
            <w:pPr>
              <w:rPr>
                <w:rFonts w:cs="Arial"/>
                <w:lang w:val="fr-CA"/>
              </w:rPr>
            </w:pPr>
            <w:r w:rsidRPr="00AC7DC9">
              <w:rPr>
                <w:rFonts w:cs="Arial"/>
                <w:lang w:val="fr-CA"/>
              </w:rPr>
              <w:t xml:space="preserve">1. De l’information au sujet des FCT a-t-elle été communiquée aux membres de la communauté scolaire? </w:t>
            </w:r>
          </w:p>
        </w:tc>
        <w:tc>
          <w:tcPr>
            <w:tcW w:w="6300" w:type="dxa"/>
          </w:tcPr>
          <w:p w14:paraId="12DA072A" w14:textId="477152D8" w:rsidR="0011259B" w:rsidRPr="00AC7DC9" w:rsidRDefault="0011259B" w:rsidP="00040832">
            <w:pPr>
              <w:rPr>
                <w:rFonts w:cs="Arial"/>
                <w:lang w:val="fr-CA"/>
              </w:rPr>
            </w:pPr>
            <w:r w:rsidRPr="00AC7DC9">
              <w:rPr>
                <w:rFonts w:cs="Arial"/>
                <w:lang w:val="fr-CA"/>
              </w:rPr>
              <w:t xml:space="preserve">Parmi les membres de la communauté, on pourrait compter les élèves, les enseignants, les aide-élèves, la direction d’école, le personnel administratif et le personnel d’entretien, les surveillants, les parents, les Ainés, </w:t>
            </w:r>
            <w:r w:rsidR="00040832">
              <w:rPr>
                <w:rFonts w:cs="Arial"/>
                <w:lang w:val="fr-CA"/>
              </w:rPr>
              <w:t>les Sages</w:t>
            </w:r>
            <w:r w:rsidRPr="00AC7DC9">
              <w:rPr>
                <w:rFonts w:cs="Arial"/>
                <w:lang w:val="fr-CA"/>
              </w:rPr>
              <w:t xml:space="preserve">, les membres du conseil d’école, les conseillers scolaires, les administrateurs du bureau central, les chauffeurs d’autobus,  etc.   </w:t>
            </w:r>
          </w:p>
        </w:tc>
      </w:tr>
      <w:tr w:rsidR="0011259B" w:rsidRPr="005C3204" w14:paraId="61497B3D" w14:textId="77777777" w:rsidTr="00244057">
        <w:tc>
          <w:tcPr>
            <w:tcW w:w="3420" w:type="dxa"/>
            <w:shd w:val="clear" w:color="auto" w:fill="C6D9F1"/>
          </w:tcPr>
          <w:p w14:paraId="3F2C4DD5" w14:textId="77777777" w:rsidR="0011259B" w:rsidRPr="00AC7DC9" w:rsidRDefault="0011259B" w:rsidP="00244057">
            <w:pPr>
              <w:rPr>
                <w:rFonts w:cs="Arial"/>
                <w:lang w:val="fr-CA"/>
              </w:rPr>
            </w:pPr>
            <w:r w:rsidRPr="00AC7DC9">
              <w:rPr>
                <w:rFonts w:cs="Arial"/>
                <w:lang w:val="fr-CA"/>
              </w:rPr>
              <w:t>2. De l’information au sujet des FCT a</w:t>
            </w:r>
            <w:r w:rsidRPr="00AC7DC9">
              <w:rPr>
                <w:rFonts w:cs="Arial"/>
                <w:lang w:val="fr-CA"/>
              </w:rPr>
              <w:noBreakHyphen/>
              <w:t xml:space="preserve">t-elle été communiquée à l’ensemble de la communauté? </w:t>
            </w:r>
          </w:p>
        </w:tc>
        <w:tc>
          <w:tcPr>
            <w:tcW w:w="6300" w:type="dxa"/>
          </w:tcPr>
          <w:p w14:paraId="21B2BEAB" w14:textId="77777777" w:rsidR="0011259B" w:rsidRPr="00AC7DC9" w:rsidRDefault="0011259B" w:rsidP="00244057">
            <w:pPr>
              <w:rPr>
                <w:rFonts w:cs="Arial"/>
                <w:lang w:val="fr-CA"/>
              </w:rPr>
            </w:pPr>
            <w:r w:rsidRPr="00AC7DC9">
              <w:rPr>
                <w:rFonts w:cs="Arial"/>
                <w:lang w:val="fr-CA"/>
              </w:rPr>
              <w:t>La grande communauté peut être locale ou jusqu’à mondiale.   Parmi les membres de cette grande communauté, on pourrait compter des groupes communautaires, les Premières Nations, les Métis et les Inuits; les Francophones; le gouvernement local, des entreprises, des compagnies, des institutions postsecondaires, des leadeurs d’activités r</w:t>
            </w:r>
            <w:r w:rsidRPr="00AC7DC9">
              <w:rPr>
                <w:rFonts w:cs="Arial"/>
                <w:lang w:val="fr-CA" w:eastAsia="ja-JP"/>
              </w:rPr>
              <w:t>écréatives</w:t>
            </w:r>
            <w:r w:rsidRPr="00AC7DC9">
              <w:rPr>
                <w:rFonts w:cs="Arial"/>
                <w:lang w:val="fr-CA"/>
              </w:rPr>
              <w:t xml:space="preserve">, des individus, des personnes âgées, des experts professionnels, etc. </w:t>
            </w:r>
          </w:p>
        </w:tc>
      </w:tr>
      <w:tr w:rsidR="0011259B" w:rsidRPr="005C3204" w14:paraId="588F2EA1" w14:textId="77777777" w:rsidTr="00244057">
        <w:tc>
          <w:tcPr>
            <w:tcW w:w="3420" w:type="dxa"/>
            <w:shd w:val="clear" w:color="auto" w:fill="C6D9F1"/>
          </w:tcPr>
          <w:p w14:paraId="5B09BA2F" w14:textId="77777777" w:rsidR="0011259B" w:rsidRPr="00AC7DC9" w:rsidRDefault="0011259B" w:rsidP="00244057">
            <w:pPr>
              <w:rPr>
                <w:rFonts w:cs="Arial"/>
                <w:lang w:val="fr-CA"/>
              </w:rPr>
            </w:pPr>
            <w:r w:rsidRPr="00AC7DC9">
              <w:rPr>
                <w:rFonts w:cs="Arial"/>
                <w:color w:val="000000"/>
                <w:lang w:val="fr-CA"/>
              </w:rPr>
              <w:t xml:space="preserve">3. </w:t>
            </w:r>
            <w:r w:rsidRPr="00AC7DC9">
              <w:rPr>
                <w:rFonts w:eastAsia="Arial" w:cs="Arial"/>
                <w:color w:val="000000"/>
                <w:lang w:val="fr-CA"/>
              </w:rPr>
              <w:t>La planification des FCT tient-elle compte des possibilités de participation communautaire?</w:t>
            </w:r>
          </w:p>
        </w:tc>
        <w:tc>
          <w:tcPr>
            <w:tcW w:w="6300" w:type="dxa"/>
          </w:tcPr>
          <w:p w14:paraId="1F3893EA" w14:textId="77777777" w:rsidR="0011259B" w:rsidRPr="00AC7DC9" w:rsidRDefault="0011259B" w:rsidP="00244057">
            <w:pPr>
              <w:rPr>
                <w:rFonts w:ascii="Segoe UI Symbol" w:hAnsi="Segoe UI Symbol" w:cs="Arial"/>
                <w:lang w:val="fr-CA" w:eastAsia="ja-JP"/>
              </w:rPr>
            </w:pPr>
            <w:r w:rsidRPr="00AC7DC9">
              <w:rPr>
                <w:rFonts w:cs="Arial"/>
                <w:lang w:val="fr-CA"/>
              </w:rPr>
              <w:t>Il existe autant de façons de planifier les FCT que d’enseignants. La planification des FCT est la responsabilité de l’enseignant. La décision d’inclure la communaut</w:t>
            </w:r>
            <w:r w:rsidRPr="00AC7DC9">
              <w:rPr>
                <w:rFonts w:cs="Arial"/>
                <w:lang w:val="fr-CA" w:eastAsia="ja-JP"/>
              </w:rPr>
              <w:t>é dans le défi FCT</w:t>
            </w:r>
            <w:r w:rsidRPr="00AC7DC9">
              <w:rPr>
                <w:rFonts w:cs="Arial"/>
                <w:lang w:val="fr-CA"/>
              </w:rPr>
              <w:t xml:space="preserve"> revient à l’enseignant</w:t>
            </w:r>
            <w:r w:rsidRPr="00AC7DC9">
              <w:rPr>
                <w:rFonts w:cs="Arial"/>
                <w:lang w:val="fr-CA" w:eastAsia="ja-JP"/>
              </w:rPr>
              <w:t>.  Le but de la participation de la communauté dans les défis est d’appuyer des expériences authentiques et significatives et de faire le lien entre le « comment » et le « pourquoi » des apprentissages.  Même si des gabarits ont été développés pour faciliter la planification des cours de FTC, la décision de les utiliser ou non revient à l’enseignant.</w:t>
            </w:r>
          </w:p>
        </w:tc>
      </w:tr>
      <w:tr w:rsidR="0011259B" w:rsidRPr="005C3204" w14:paraId="1CAB1D8A" w14:textId="77777777" w:rsidTr="00244057">
        <w:tc>
          <w:tcPr>
            <w:tcW w:w="3420" w:type="dxa"/>
            <w:shd w:val="clear" w:color="auto" w:fill="C6D9F1"/>
          </w:tcPr>
          <w:p w14:paraId="07FCC04A" w14:textId="77777777" w:rsidR="0011259B" w:rsidRPr="00AC7DC9" w:rsidRDefault="0011259B" w:rsidP="00244057">
            <w:pPr>
              <w:rPr>
                <w:rFonts w:eastAsia="Arial" w:cs="Arial"/>
                <w:color w:val="000000"/>
                <w:spacing w:val="6"/>
                <w:lang w:val="fr-CA"/>
              </w:rPr>
            </w:pPr>
            <w:r w:rsidRPr="00AC7DC9">
              <w:rPr>
                <w:rFonts w:eastAsia="Arial" w:cs="Arial"/>
                <w:color w:val="000000"/>
                <w:lang w:val="fr-CA"/>
              </w:rPr>
              <w:t xml:space="preserve">4. La possibilité de faire vivre aux élèves des expériences </w:t>
            </w:r>
            <w:r w:rsidRPr="00AC7DC9">
              <w:rPr>
                <w:rFonts w:cs="Arial"/>
                <w:color w:val="000000"/>
                <w:lang w:val="fr-CA"/>
              </w:rPr>
              <w:t>hors- établissement authentiques et signifiantes en mobilisant ressources, personnes et groupes a-t-elle ét</w:t>
            </w:r>
            <w:r w:rsidRPr="00AC7DC9">
              <w:rPr>
                <w:rFonts w:cs="Arial"/>
                <w:color w:val="000000"/>
                <w:lang w:val="fr-CA" w:eastAsia="ja-JP"/>
              </w:rPr>
              <w:t>é considérée?</w:t>
            </w:r>
            <w:r w:rsidRPr="00AC7DC9">
              <w:rPr>
                <w:rFonts w:cs="Arial"/>
                <w:lang w:val="fr-CA"/>
              </w:rPr>
              <w:t xml:space="preserve"> </w:t>
            </w:r>
          </w:p>
        </w:tc>
        <w:tc>
          <w:tcPr>
            <w:tcW w:w="6300" w:type="dxa"/>
          </w:tcPr>
          <w:p w14:paraId="06699CA5" w14:textId="77777777" w:rsidR="0011259B" w:rsidRPr="00AC7DC9" w:rsidRDefault="0011259B" w:rsidP="00244057">
            <w:pPr>
              <w:rPr>
                <w:rFonts w:cs="Arial"/>
                <w:lang w:val="fr-CA"/>
              </w:rPr>
            </w:pPr>
            <w:r w:rsidRPr="00AC7DC9">
              <w:rPr>
                <w:rFonts w:cs="Arial"/>
                <w:lang w:val="fr-CA" w:eastAsia="ja-JP"/>
              </w:rPr>
              <w:t>L’emploi de ressources, de personnes ou de groupes communautaires doit appuyer des expériences authentiques et significatives et servir à faire le lien entre le « comment » et le « pourquoi » de l’apprentissage.  Les élèves demandent souvent quand et comment ils utiliseront les connaissances enseignées.  Les défis FCT peuvent offrir des expériences d’apprentissage qui soutiennent le développement d’habiletés, de connaissances et de compétences technologiques par les élèves dans des situations significatives et authentiques.</w:t>
            </w:r>
          </w:p>
        </w:tc>
      </w:tr>
      <w:tr w:rsidR="0011259B" w:rsidRPr="005C3204" w14:paraId="5A406799" w14:textId="77777777" w:rsidTr="00244057">
        <w:tc>
          <w:tcPr>
            <w:tcW w:w="3420" w:type="dxa"/>
            <w:shd w:val="clear" w:color="auto" w:fill="C6D9F1"/>
          </w:tcPr>
          <w:p w14:paraId="6B99086D" w14:textId="77777777" w:rsidR="0011259B" w:rsidRPr="00AC7DC9" w:rsidRDefault="0011259B" w:rsidP="00244057">
            <w:pPr>
              <w:autoSpaceDE w:val="0"/>
              <w:autoSpaceDN w:val="0"/>
              <w:adjustRightInd w:val="0"/>
              <w:rPr>
                <w:rFonts w:cs="Arial"/>
                <w:lang w:val="fr-CA"/>
              </w:rPr>
            </w:pPr>
            <w:r w:rsidRPr="00AC7DC9">
              <w:rPr>
                <w:rFonts w:cs="Arial"/>
                <w:color w:val="000000"/>
                <w:lang w:val="fr-CA"/>
              </w:rPr>
              <w:t xml:space="preserve">5. La possibilité de développer des partenariats qui appuient les FCT a-t-elle été considérée? </w:t>
            </w:r>
          </w:p>
        </w:tc>
        <w:tc>
          <w:tcPr>
            <w:tcW w:w="6300" w:type="dxa"/>
          </w:tcPr>
          <w:p w14:paraId="68E540DF" w14:textId="77777777" w:rsidR="0011259B" w:rsidRPr="00AC7DC9" w:rsidRDefault="0011259B" w:rsidP="00244057">
            <w:pPr>
              <w:rPr>
                <w:rFonts w:cs="Arial"/>
                <w:lang w:val="fr-CA"/>
              </w:rPr>
            </w:pPr>
            <w:r w:rsidRPr="00AC7DC9">
              <w:rPr>
                <w:rFonts w:cs="Arial"/>
                <w:lang w:val="fr-CA"/>
              </w:rPr>
              <w:t>Le développement des partenariats dépend de la communauté et des besoins du programme des FCT.  Les partenariats offrent la possibilité de faire des liens authentiques et significatifs entre le « comment » et le « pourquoi » de l’apprentissage. Le « comment » et le « pourquoi » de l’apprentissage peuvent varier, prenant la forme, par exemple, de la participation à des activités culturelles autochtones, d’une visite à la ferme ou d’une conversation avec un astronaute à bord de la station spatiale. Les partenariats peuvent comprendre :</w:t>
            </w:r>
          </w:p>
          <w:p w14:paraId="3DF68DD8" w14:textId="77777777" w:rsidR="0011259B" w:rsidRPr="00AC7DC9" w:rsidRDefault="0011259B" w:rsidP="0011259B">
            <w:pPr>
              <w:pStyle w:val="ListParagraph"/>
              <w:numPr>
                <w:ilvl w:val="0"/>
                <w:numId w:val="5"/>
              </w:numPr>
              <w:rPr>
                <w:rFonts w:cs="Arial"/>
                <w:lang w:val="fr-CA"/>
              </w:rPr>
            </w:pPr>
            <w:r w:rsidRPr="00AC7DC9">
              <w:rPr>
                <w:rFonts w:cs="Arial"/>
                <w:lang w:val="fr-CA"/>
              </w:rPr>
              <w:t>une liste de noms des parents prêts à partager leur expertise avec les élèves;</w:t>
            </w:r>
          </w:p>
          <w:p w14:paraId="36AC6159" w14:textId="77777777" w:rsidR="0011259B" w:rsidRPr="00AC7DC9" w:rsidRDefault="0011259B" w:rsidP="0011259B">
            <w:pPr>
              <w:pStyle w:val="ListParagraph"/>
              <w:numPr>
                <w:ilvl w:val="0"/>
                <w:numId w:val="5"/>
              </w:numPr>
              <w:rPr>
                <w:rFonts w:cs="Arial"/>
                <w:lang w:val="fr-CA"/>
              </w:rPr>
            </w:pPr>
            <w:r w:rsidRPr="00AC7DC9">
              <w:rPr>
                <w:rFonts w:cs="Arial"/>
                <w:lang w:val="fr-CA"/>
              </w:rPr>
              <w:t>des lieux communautaires où les élèves peuvent présenter leur travail (p. ex. centres d’achats, salles communautaires, entreprises, bibliothèques, conseil municipal);</w:t>
            </w:r>
          </w:p>
          <w:p w14:paraId="0E1F70EC" w14:textId="77777777" w:rsidR="0011259B" w:rsidRPr="00AC7DC9" w:rsidRDefault="0011259B" w:rsidP="0011259B">
            <w:pPr>
              <w:pStyle w:val="ListParagraph"/>
              <w:numPr>
                <w:ilvl w:val="0"/>
                <w:numId w:val="5"/>
              </w:numPr>
              <w:rPr>
                <w:rFonts w:cs="Arial"/>
                <w:lang w:val="fr-CA"/>
              </w:rPr>
            </w:pPr>
            <w:r w:rsidRPr="00AC7DC9">
              <w:rPr>
                <w:rFonts w:cs="Arial"/>
                <w:lang w:val="fr-CA"/>
              </w:rPr>
              <w:t>des groupes avec qui les élèves pourraient travailler (p. ex. des ainés, des groupes d’élèves plus jeunes ou plus âgés, des hôpitaux, des haltes-accueils)</w:t>
            </w:r>
          </w:p>
          <w:p w14:paraId="673BBC30" w14:textId="77777777" w:rsidR="0011259B" w:rsidRPr="00AC7DC9" w:rsidRDefault="0011259B" w:rsidP="0011259B">
            <w:pPr>
              <w:pStyle w:val="ListParagraph"/>
              <w:numPr>
                <w:ilvl w:val="0"/>
                <w:numId w:val="5"/>
              </w:numPr>
              <w:rPr>
                <w:rFonts w:cs="Arial"/>
                <w:lang w:val="fr-CA"/>
              </w:rPr>
            </w:pPr>
            <w:r w:rsidRPr="00AC7DC9">
              <w:rPr>
                <w:rFonts w:cs="Arial"/>
                <w:lang w:val="fr-CA"/>
              </w:rPr>
              <w:lastRenderedPageBreak/>
              <w:t>des individus, des raconteurs, des entreprises, des compagnies ou des établissements postsecondaires prêts à présenter leur savoir professionnel aux élèves (à l’école ou en dehors de l’école);</w:t>
            </w:r>
          </w:p>
          <w:p w14:paraId="79AF6EF3" w14:textId="77777777" w:rsidR="0011259B" w:rsidRPr="00AC7DC9" w:rsidRDefault="0011259B" w:rsidP="0011259B">
            <w:pPr>
              <w:pStyle w:val="ListParagraph"/>
              <w:numPr>
                <w:ilvl w:val="0"/>
                <w:numId w:val="5"/>
              </w:numPr>
              <w:rPr>
                <w:rFonts w:cs="Arial"/>
                <w:lang w:val="fr-CA"/>
              </w:rPr>
            </w:pPr>
            <w:r w:rsidRPr="00AC7DC9">
              <w:rPr>
                <w:rFonts w:cs="Arial"/>
                <w:lang w:val="fr-CA"/>
              </w:rPr>
              <w:t>de l’interaction numérique (p. ex. contact avec des experts dans le domaine par courriel, texto, Skype ou vidéoconférence).</w:t>
            </w:r>
          </w:p>
        </w:tc>
      </w:tr>
    </w:tbl>
    <w:p w14:paraId="33E8DE49" w14:textId="77777777" w:rsidR="0011259B" w:rsidRPr="00A25367" w:rsidRDefault="0011259B" w:rsidP="00A25367">
      <w:pPr>
        <w:spacing w:after="0" w:line="240" w:lineRule="auto"/>
        <w:jc w:val="both"/>
        <w:rPr>
          <w:lang w:val="fr-CA"/>
        </w:rPr>
      </w:pPr>
    </w:p>
    <w:sectPr w:rsidR="0011259B" w:rsidRPr="00A25367" w:rsidSect="005A14D5">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440" w:left="1080"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DFF1" w14:textId="77777777" w:rsidR="00190EE4" w:rsidRDefault="00190EE4" w:rsidP="003E2E30">
      <w:pPr>
        <w:spacing w:after="0" w:line="240" w:lineRule="auto"/>
      </w:pPr>
      <w:r>
        <w:separator/>
      </w:r>
    </w:p>
  </w:endnote>
  <w:endnote w:type="continuationSeparator" w:id="0">
    <w:p w14:paraId="73156804" w14:textId="77777777" w:rsidR="00190EE4" w:rsidRDefault="00190EE4" w:rsidP="003E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37A6C" w14:textId="77777777" w:rsidR="00BF0930" w:rsidRDefault="00BF0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46946" w14:textId="42BDC893" w:rsidR="003433E4" w:rsidRPr="00431BC3" w:rsidRDefault="007C5B0A">
    <w:pPr>
      <w:pStyle w:val="Footer"/>
      <w:rPr>
        <w:sz w:val="18"/>
        <w:szCs w:val="18"/>
        <w:lang w:val="es-AR"/>
      </w:rPr>
    </w:pPr>
    <w:r>
      <w:rPr>
        <w:sz w:val="18"/>
        <w:szCs w:val="18"/>
        <w:lang w:val="es-AR"/>
      </w:rPr>
      <w:t xml:space="preserve">© Alberta </w:t>
    </w:r>
    <w:proofErr w:type="spellStart"/>
    <w:r>
      <w:rPr>
        <w:sz w:val="18"/>
        <w:szCs w:val="18"/>
        <w:lang w:val="es-AR"/>
      </w:rPr>
      <w:t>Education</w:t>
    </w:r>
    <w:proofErr w:type="spellEnd"/>
    <w:r w:rsidR="003433E4" w:rsidRPr="00431BC3">
      <w:rPr>
        <w:sz w:val="18"/>
        <w:szCs w:val="18"/>
        <w:lang w:val="es-AR"/>
      </w:rPr>
      <w:t xml:space="preserve">, </w:t>
    </w:r>
    <w:proofErr w:type="spellStart"/>
    <w:r w:rsidR="003433E4" w:rsidRPr="00431BC3">
      <w:rPr>
        <w:sz w:val="18"/>
        <w:szCs w:val="18"/>
        <w:lang w:val="es-AR"/>
      </w:rPr>
      <w:t>Canada</w:t>
    </w:r>
    <w:proofErr w:type="spellEnd"/>
    <w:r w:rsidR="00A25367">
      <w:rPr>
        <w:sz w:val="18"/>
        <w:szCs w:val="18"/>
        <w:lang w:val="es-AR"/>
      </w:rPr>
      <w:t>,</w:t>
    </w:r>
    <w:r w:rsidR="003433E4" w:rsidRPr="00431BC3">
      <w:rPr>
        <w:sz w:val="18"/>
        <w:szCs w:val="18"/>
        <w:lang w:val="es-AR"/>
      </w:rPr>
      <w:t xml:space="preserve"> </w:t>
    </w:r>
    <w:r w:rsidR="00A25367">
      <w:rPr>
        <w:sz w:val="18"/>
        <w:szCs w:val="18"/>
        <w:lang w:val="es-AR"/>
      </w:rPr>
      <w:t xml:space="preserve">2017 </w:t>
    </w:r>
    <w:r w:rsidR="003433E4">
      <w:rPr>
        <w:sz w:val="18"/>
        <w:szCs w:val="18"/>
        <w:lang w:val="fr-CA"/>
      </w:rPr>
      <w:ptab w:relativeTo="margin" w:alignment="center" w:leader="none"/>
    </w:r>
    <w:r w:rsidR="003433E4">
      <w:rPr>
        <w:sz w:val="18"/>
        <w:szCs w:val="18"/>
        <w:lang w:val="fr-CA"/>
      </w:rPr>
      <w:ptab w:relativeTo="margin" w:alignment="right" w:leader="none"/>
    </w:r>
    <w:r w:rsidR="003433E4" w:rsidRPr="00431BC3">
      <w:rPr>
        <w:sz w:val="18"/>
        <w:szCs w:val="18"/>
        <w:lang w:val="es-AR"/>
      </w:rPr>
      <w:t xml:space="preserve">Page </w:t>
    </w:r>
    <w:r w:rsidR="003433E4">
      <w:rPr>
        <w:sz w:val="18"/>
        <w:szCs w:val="18"/>
        <w:lang w:val="fr-CA"/>
      </w:rPr>
      <w:fldChar w:fldCharType="begin"/>
    </w:r>
    <w:r w:rsidR="003433E4" w:rsidRPr="00431BC3">
      <w:rPr>
        <w:sz w:val="18"/>
        <w:szCs w:val="18"/>
        <w:lang w:val="es-AR"/>
      </w:rPr>
      <w:instrText xml:space="preserve"> PAGE  \* Arabic  \* MERGEFORMAT </w:instrText>
    </w:r>
    <w:r w:rsidR="003433E4">
      <w:rPr>
        <w:sz w:val="18"/>
        <w:szCs w:val="18"/>
        <w:lang w:val="fr-CA"/>
      </w:rPr>
      <w:fldChar w:fldCharType="separate"/>
    </w:r>
    <w:r w:rsidR="00C56285" w:rsidRPr="00C56285">
      <w:rPr>
        <w:b/>
        <w:bCs/>
        <w:noProof/>
        <w:sz w:val="18"/>
        <w:szCs w:val="18"/>
        <w:lang w:val="es-AR"/>
      </w:rPr>
      <w:t>3</w:t>
    </w:r>
    <w:r w:rsidR="003433E4">
      <w:rPr>
        <w:sz w:val="18"/>
        <w:szCs w:val="18"/>
        <w:lang w:val="fr-CA"/>
      </w:rPr>
      <w:fldChar w:fldCharType="end"/>
    </w:r>
    <w:r w:rsidR="003433E4" w:rsidRPr="00431BC3">
      <w:rPr>
        <w:sz w:val="18"/>
        <w:szCs w:val="18"/>
        <w:lang w:val="es-AR"/>
      </w:rPr>
      <w:t xml:space="preserve"> de </w:t>
    </w:r>
    <w:r w:rsidR="003433E4">
      <w:rPr>
        <w:sz w:val="18"/>
        <w:szCs w:val="18"/>
        <w:lang w:val="fr-CA"/>
      </w:rPr>
      <w:fldChar w:fldCharType="begin"/>
    </w:r>
    <w:r w:rsidR="003433E4" w:rsidRPr="00431BC3">
      <w:rPr>
        <w:sz w:val="18"/>
        <w:szCs w:val="18"/>
        <w:lang w:val="es-AR"/>
      </w:rPr>
      <w:instrText xml:space="preserve"> NUMPAGES  \* Arabic  \* MERGEFORMAT </w:instrText>
    </w:r>
    <w:r w:rsidR="003433E4">
      <w:rPr>
        <w:sz w:val="18"/>
        <w:szCs w:val="18"/>
        <w:lang w:val="fr-CA"/>
      </w:rPr>
      <w:fldChar w:fldCharType="separate"/>
    </w:r>
    <w:r w:rsidR="00C56285" w:rsidRPr="00C56285">
      <w:rPr>
        <w:b/>
        <w:bCs/>
        <w:noProof/>
        <w:sz w:val="18"/>
        <w:szCs w:val="18"/>
        <w:lang w:val="es-AR"/>
      </w:rPr>
      <w:t>3</w:t>
    </w:r>
    <w:r w:rsidR="003433E4">
      <w:rPr>
        <w:sz w:val="18"/>
        <w:szCs w:val="18"/>
        <w:lang w:val="fr-C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D5529" w14:textId="77777777" w:rsidR="00BF0930" w:rsidRDefault="00BF0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A6D05" w14:textId="77777777" w:rsidR="00190EE4" w:rsidRDefault="00190EE4" w:rsidP="003E2E30">
      <w:pPr>
        <w:spacing w:after="0" w:line="240" w:lineRule="auto"/>
      </w:pPr>
      <w:r>
        <w:separator/>
      </w:r>
    </w:p>
  </w:footnote>
  <w:footnote w:type="continuationSeparator" w:id="0">
    <w:p w14:paraId="6CD2D5C3" w14:textId="77777777" w:rsidR="00190EE4" w:rsidRDefault="00190EE4" w:rsidP="003E2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8D0A9" w14:textId="77777777" w:rsidR="00BF0930" w:rsidRDefault="00BF0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DD30F" w14:textId="61B0BDC7" w:rsidR="003E2E30" w:rsidRDefault="003E2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1066F" w14:textId="77777777" w:rsidR="00BF0930" w:rsidRDefault="00BF0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0ADA"/>
    <w:multiLevelType w:val="hybridMultilevel"/>
    <w:tmpl w:val="22BA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D4E0A"/>
    <w:multiLevelType w:val="hybridMultilevel"/>
    <w:tmpl w:val="487A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A7027"/>
    <w:multiLevelType w:val="hybridMultilevel"/>
    <w:tmpl w:val="8AFEA1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65478D"/>
    <w:multiLevelType w:val="hybridMultilevel"/>
    <w:tmpl w:val="2C1A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A575C"/>
    <w:multiLevelType w:val="hybridMultilevel"/>
    <w:tmpl w:val="6368F0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CD"/>
    <w:rsid w:val="00015799"/>
    <w:rsid w:val="00026D85"/>
    <w:rsid w:val="000300A3"/>
    <w:rsid w:val="00036868"/>
    <w:rsid w:val="00040832"/>
    <w:rsid w:val="000427A8"/>
    <w:rsid w:val="000563F2"/>
    <w:rsid w:val="000F5FB5"/>
    <w:rsid w:val="0011259B"/>
    <w:rsid w:val="001363CD"/>
    <w:rsid w:val="00163801"/>
    <w:rsid w:val="001676FE"/>
    <w:rsid w:val="00190EE4"/>
    <w:rsid w:val="001B6F98"/>
    <w:rsid w:val="001B70FE"/>
    <w:rsid w:val="001E4705"/>
    <w:rsid w:val="001F6FE3"/>
    <w:rsid w:val="001F7CF2"/>
    <w:rsid w:val="00207178"/>
    <w:rsid w:val="002166F2"/>
    <w:rsid w:val="00217D92"/>
    <w:rsid w:val="00243F9E"/>
    <w:rsid w:val="0025313C"/>
    <w:rsid w:val="002C4F22"/>
    <w:rsid w:val="002C7C59"/>
    <w:rsid w:val="002D3A61"/>
    <w:rsid w:val="002F12C9"/>
    <w:rsid w:val="003433E4"/>
    <w:rsid w:val="00344105"/>
    <w:rsid w:val="00380AF5"/>
    <w:rsid w:val="00383F68"/>
    <w:rsid w:val="00396B60"/>
    <w:rsid w:val="003B2C8D"/>
    <w:rsid w:val="003E2E30"/>
    <w:rsid w:val="00412564"/>
    <w:rsid w:val="004254C5"/>
    <w:rsid w:val="00431BC3"/>
    <w:rsid w:val="00433B6C"/>
    <w:rsid w:val="004773F5"/>
    <w:rsid w:val="0048609E"/>
    <w:rsid w:val="004B008D"/>
    <w:rsid w:val="004C0941"/>
    <w:rsid w:val="004C57DD"/>
    <w:rsid w:val="004D310B"/>
    <w:rsid w:val="004E7860"/>
    <w:rsid w:val="00501668"/>
    <w:rsid w:val="00505FA4"/>
    <w:rsid w:val="00507551"/>
    <w:rsid w:val="0051086A"/>
    <w:rsid w:val="00562A65"/>
    <w:rsid w:val="00566E50"/>
    <w:rsid w:val="00585C58"/>
    <w:rsid w:val="005A14D5"/>
    <w:rsid w:val="005A32FA"/>
    <w:rsid w:val="005A3336"/>
    <w:rsid w:val="005B1B3D"/>
    <w:rsid w:val="005B36A0"/>
    <w:rsid w:val="005B6304"/>
    <w:rsid w:val="005C3204"/>
    <w:rsid w:val="00694C7E"/>
    <w:rsid w:val="006C1389"/>
    <w:rsid w:val="006C7098"/>
    <w:rsid w:val="006D0EFB"/>
    <w:rsid w:val="006D52A3"/>
    <w:rsid w:val="0070602F"/>
    <w:rsid w:val="007551A1"/>
    <w:rsid w:val="0078322C"/>
    <w:rsid w:val="007A3CC1"/>
    <w:rsid w:val="007A554D"/>
    <w:rsid w:val="007C5B0A"/>
    <w:rsid w:val="007F72BA"/>
    <w:rsid w:val="00801909"/>
    <w:rsid w:val="0085087A"/>
    <w:rsid w:val="0087465F"/>
    <w:rsid w:val="008B6D92"/>
    <w:rsid w:val="008F5513"/>
    <w:rsid w:val="00906941"/>
    <w:rsid w:val="00907D6B"/>
    <w:rsid w:val="009B042C"/>
    <w:rsid w:val="009B2828"/>
    <w:rsid w:val="009C182D"/>
    <w:rsid w:val="009D5B57"/>
    <w:rsid w:val="00A25367"/>
    <w:rsid w:val="00A74188"/>
    <w:rsid w:val="00A849BB"/>
    <w:rsid w:val="00A87563"/>
    <w:rsid w:val="00A93F51"/>
    <w:rsid w:val="00AB5CBF"/>
    <w:rsid w:val="00AD1F2B"/>
    <w:rsid w:val="00AD66B7"/>
    <w:rsid w:val="00B037CB"/>
    <w:rsid w:val="00B334E1"/>
    <w:rsid w:val="00B4485E"/>
    <w:rsid w:val="00BD16CB"/>
    <w:rsid w:val="00BE23F8"/>
    <w:rsid w:val="00BF0930"/>
    <w:rsid w:val="00C156EA"/>
    <w:rsid w:val="00C56285"/>
    <w:rsid w:val="00C56B8A"/>
    <w:rsid w:val="00C636D9"/>
    <w:rsid w:val="00C8090B"/>
    <w:rsid w:val="00C95BEF"/>
    <w:rsid w:val="00CB01CB"/>
    <w:rsid w:val="00CB1683"/>
    <w:rsid w:val="00CB33D7"/>
    <w:rsid w:val="00CC3038"/>
    <w:rsid w:val="00CE04E4"/>
    <w:rsid w:val="00D1483A"/>
    <w:rsid w:val="00D27226"/>
    <w:rsid w:val="00D33E5D"/>
    <w:rsid w:val="00D36C1C"/>
    <w:rsid w:val="00D63BE5"/>
    <w:rsid w:val="00DA128B"/>
    <w:rsid w:val="00DE0DA6"/>
    <w:rsid w:val="00E126F2"/>
    <w:rsid w:val="00E6730D"/>
    <w:rsid w:val="00E73374"/>
    <w:rsid w:val="00E7795C"/>
    <w:rsid w:val="00EA3B1E"/>
    <w:rsid w:val="00EA5D24"/>
    <w:rsid w:val="00EB7056"/>
    <w:rsid w:val="00EC6FF7"/>
    <w:rsid w:val="00EF79B3"/>
    <w:rsid w:val="00F22B12"/>
    <w:rsid w:val="00F275DC"/>
    <w:rsid w:val="00F3114B"/>
    <w:rsid w:val="00F47308"/>
    <w:rsid w:val="00F507C6"/>
    <w:rsid w:val="00F64A8A"/>
    <w:rsid w:val="00FD4954"/>
    <w:rsid w:val="00FF6DB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5BBB1487"/>
  <w15:docId w15:val="{45551E9E-7319-456C-B438-EE8743D4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2A3"/>
    <w:pPr>
      <w:ind w:left="720"/>
      <w:contextualSpacing/>
    </w:pPr>
  </w:style>
  <w:style w:type="paragraph" w:styleId="BalloonText">
    <w:name w:val="Balloon Text"/>
    <w:basedOn w:val="Normal"/>
    <w:link w:val="BalloonTextChar"/>
    <w:uiPriority w:val="99"/>
    <w:semiHidden/>
    <w:unhideWhenUsed/>
    <w:rsid w:val="00EF7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9B3"/>
    <w:rPr>
      <w:rFonts w:ascii="Tahoma" w:hAnsi="Tahoma" w:cs="Tahoma"/>
      <w:sz w:val="16"/>
      <w:szCs w:val="16"/>
    </w:rPr>
  </w:style>
  <w:style w:type="paragraph" w:styleId="Header">
    <w:name w:val="header"/>
    <w:basedOn w:val="Normal"/>
    <w:link w:val="HeaderChar"/>
    <w:uiPriority w:val="99"/>
    <w:unhideWhenUsed/>
    <w:rsid w:val="003E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30"/>
  </w:style>
  <w:style w:type="paragraph" w:styleId="Footer">
    <w:name w:val="footer"/>
    <w:basedOn w:val="Normal"/>
    <w:link w:val="FooterChar"/>
    <w:uiPriority w:val="99"/>
    <w:unhideWhenUsed/>
    <w:rsid w:val="003E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30"/>
  </w:style>
  <w:style w:type="character" w:styleId="CommentReference">
    <w:name w:val="annotation reference"/>
    <w:basedOn w:val="DefaultParagraphFont"/>
    <w:uiPriority w:val="99"/>
    <w:semiHidden/>
    <w:unhideWhenUsed/>
    <w:rsid w:val="001F6FE3"/>
    <w:rPr>
      <w:sz w:val="16"/>
      <w:szCs w:val="16"/>
    </w:rPr>
  </w:style>
  <w:style w:type="paragraph" w:styleId="CommentText">
    <w:name w:val="annotation text"/>
    <w:basedOn w:val="Normal"/>
    <w:link w:val="CommentTextChar"/>
    <w:uiPriority w:val="99"/>
    <w:semiHidden/>
    <w:unhideWhenUsed/>
    <w:rsid w:val="001F6FE3"/>
    <w:pPr>
      <w:spacing w:line="240" w:lineRule="auto"/>
    </w:pPr>
    <w:rPr>
      <w:sz w:val="20"/>
      <w:szCs w:val="20"/>
    </w:rPr>
  </w:style>
  <w:style w:type="character" w:customStyle="1" w:styleId="CommentTextChar">
    <w:name w:val="Comment Text Char"/>
    <w:basedOn w:val="DefaultParagraphFont"/>
    <w:link w:val="CommentText"/>
    <w:uiPriority w:val="99"/>
    <w:semiHidden/>
    <w:rsid w:val="001F6FE3"/>
    <w:rPr>
      <w:sz w:val="20"/>
      <w:szCs w:val="20"/>
    </w:rPr>
  </w:style>
  <w:style w:type="paragraph" w:styleId="CommentSubject">
    <w:name w:val="annotation subject"/>
    <w:basedOn w:val="CommentText"/>
    <w:next w:val="CommentText"/>
    <w:link w:val="CommentSubjectChar"/>
    <w:uiPriority w:val="99"/>
    <w:semiHidden/>
    <w:unhideWhenUsed/>
    <w:rsid w:val="001F6FE3"/>
    <w:rPr>
      <w:b/>
      <w:bCs/>
    </w:rPr>
  </w:style>
  <w:style w:type="character" w:customStyle="1" w:styleId="CommentSubjectChar">
    <w:name w:val="Comment Subject Char"/>
    <w:basedOn w:val="CommentTextChar"/>
    <w:link w:val="CommentSubject"/>
    <w:uiPriority w:val="99"/>
    <w:semiHidden/>
    <w:rsid w:val="001F6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mccann\Desktop\CTF\CTF%20Working%20Resources\CTF%20Readiness%20Checklists\CTF%20Community%20Readiness%20Checkli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6DCA-39FE-4AEC-A4E9-838203C9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CTF Community Readiness Checklist</Template>
  <TotalTime>0</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Alberta Education</dc:creator>
  <cp:lastModifiedBy>David McCann</cp:lastModifiedBy>
  <cp:revision>3</cp:revision>
  <cp:lastPrinted>2017-10-02T16:44:00Z</cp:lastPrinted>
  <dcterms:created xsi:type="dcterms:W3CDTF">2017-12-04T22:22:00Z</dcterms:created>
  <dcterms:modified xsi:type="dcterms:W3CDTF">2017-12-05T17:33:00Z</dcterms:modified>
</cp:coreProperties>
</file>